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32"/>
          <w:szCs w:val="32"/>
          <w:b w:val="1"/>
          <w:bCs w:val="1"/>
          <w:color w:val="auto"/>
        </w:rPr>
        <w:t>APTERA MOTORS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tbl>
      <w:tblPr>
        <w:tblLayout w:type="fixed"/>
        <w:tblInd w:w="280" w:type="dxa"/>
        <w:tblCellMar>
          <w:top w:w="0" w:type="dxa"/>
          <w:left w:w="0" w:type="dxa"/>
          <w:bottom w:w="0" w:type="dxa"/>
          <w:right w:w="0" w:type="dxa"/>
        </w:tblCellMar>
      </w:tblPr>
      <w:tr>
        <w:trPr>
          <w:trHeight w:val="216"/>
        </w:trPr>
        <w:tc>
          <w:tcPr>
            <w:tcW w:w="3940" w:type="dxa"/>
            <w:vAlign w:val="bottom"/>
          </w:tcPr>
          <w:p>
            <w:pPr>
              <w:jc w:val="center"/>
              <w:ind w:right="7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22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001-42884</w:t>
            </w:r>
          </w:p>
        </w:tc>
        <w:tc>
          <w:tcPr>
            <w:tcW w:w="2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83-4079594</w:t>
            </w:r>
          </w:p>
        </w:tc>
      </w:tr>
      <w:tr>
        <w:trPr>
          <w:trHeight w:val="216"/>
        </w:trPr>
        <w:tc>
          <w:tcPr>
            <w:tcW w:w="394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322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2700" w:type="dxa"/>
            <w:vAlign w:val="bottom"/>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940" w:type="dxa"/>
            <w:vAlign w:val="bottom"/>
          </w:tcPr>
          <w:p>
            <w:pPr>
              <w:jc w:val="center"/>
              <w:ind w:right="79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322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7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3940" w:type="dxa"/>
            <w:vAlign w:val="bottom"/>
          </w:tcPr>
          <w:p>
            <w:pPr>
              <w:jc w:val="center"/>
              <w:ind w:right="790"/>
              <w:spacing w:after="0"/>
              <w:rPr>
                <w:sz w:val="20"/>
                <w:szCs w:val="20"/>
                <w:color w:val="auto"/>
              </w:rPr>
            </w:pPr>
            <w:r>
              <w:rPr>
                <w:rFonts w:ascii="Times New Roman" w:cs="Times New Roman" w:eastAsia="Times New Roman" w:hAnsi="Times New Roman"/>
                <w:sz w:val="18"/>
                <w:szCs w:val="18"/>
                <w:b w:val="1"/>
                <w:bCs w:val="1"/>
                <w:color w:val="auto"/>
                <w:w w:val="99"/>
              </w:rPr>
              <w:t>5818 El Camino Real</w:t>
            </w:r>
          </w:p>
        </w:tc>
        <w:tc>
          <w:tcPr>
            <w:tcW w:w="322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16"/>
        </w:trPr>
        <w:tc>
          <w:tcPr>
            <w:tcW w:w="3940" w:type="dxa"/>
            <w:vAlign w:val="bottom"/>
          </w:tcPr>
          <w:p>
            <w:pPr>
              <w:jc w:val="center"/>
              <w:ind w:right="790"/>
              <w:spacing w:after="0"/>
              <w:rPr>
                <w:sz w:val="20"/>
                <w:szCs w:val="20"/>
                <w:color w:val="auto"/>
              </w:rPr>
            </w:pPr>
            <w:r>
              <w:rPr>
                <w:rFonts w:ascii="Times New Roman" w:cs="Times New Roman" w:eastAsia="Times New Roman" w:hAnsi="Times New Roman"/>
                <w:sz w:val="18"/>
                <w:szCs w:val="18"/>
                <w:b w:val="1"/>
                <w:bCs w:val="1"/>
                <w:color w:val="auto"/>
                <w:w w:val="99"/>
              </w:rPr>
              <w:t>Carlsbad, California</w:t>
            </w:r>
          </w:p>
        </w:tc>
        <w:tc>
          <w:tcPr>
            <w:tcW w:w="3220" w:type="dxa"/>
            <w:vAlign w:val="bottom"/>
          </w:tcPr>
          <w:p>
            <w:pPr>
              <w:spacing w:after="0"/>
              <w:rPr>
                <w:sz w:val="18"/>
                <w:szCs w:val="18"/>
                <w:color w:val="auto"/>
              </w:rPr>
            </w:pPr>
          </w:p>
        </w:tc>
        <w:tc>
          <w:tcPr>
            <w:tcW w:w="27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92008</w:t>
            </w:r>
          </w:p>
        </w:tc>
      </w:tr>
      <w:tr>
        <w:trPr>
          <w:trHeight w:val="238"/>
        </w:trPr>
        <w:tc>
          <w:tcPr>
            <w:tcW w:w="3940" w:type="dxa"/>
            <w:vAlign w:val="bottom"/>
          </w:tcPr>
          <w:p>
            <w:pPr>
              <w:jc w:val="center"/>
              <w:ind w:right="7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220" w:type="dxa"/>
            <w:vAlign w:val="bottom"/>
          </w:tcPr>
          <w:p>
            <w:pPr>
              <w:spacing w:after="0"/>
              <w:rPr>
                <w:sz w:val="20"/>
                <w:szCs w:val="20"/>
                <w:color w:val="auto"/>
              </w:rPr>
            </w:pPr>
          </w:p>
        </w:tc>
        <w:tc>
          <w:tcPr>
            <w:tcW w:w="27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371-3151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B Common Stock, par value $0.0001 per share</w:t>
            </w: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SEV</w:t>
            </w:r>
          </w:p>
        </w:tc>
        <w:tc>
          <w:tcPr>
            <w:tcW w:w="220" w:type="dxa"/>
            <w:vAlign w:val="bottom"/>
          </w:tcPr>
          <w:p>
            <w:pPr>
              <w:spacing w:after="0"/>
              <w:rPr>
                <w:sz w:val="20"/>
                <w:szCs w:val="20"/>
                <w:color w:val="auto"/>
              </w:rPr>
            </w:pPr>
          </w:p>
        </w:tc>
        <w:tc>
          <w:tcPr>
            <w:tcW w:w="4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Capital Market</w:t>
            </w:r>
          </w:p>
        </w:tc>
      </w:tr>
    </w:tbl>
    <w:p>
      <w:pPr>
        <w:spacing w:after="0" w:line="1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On April 8, 2026, Aptera Motors Corp.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entered into a settlement agreement and release with Zaptera USA, Inc. (“</w:t>
      </w:r>
      <w:r>
        <w:rPr>
          <w:rFonts w:ascii="Times New Roman" w:cs="Times New Roman" w:eastAsia="Times New Roman" w:hAnsi="Times New Roman"/>
          <w:sz w:val="18"/>
          <w:szCs w:val="18"/>
          <w:b w:val="1"/>
          <w:bCs w:val="1"/>
          <w:color w:val="auto"/>
        </w:rPr>
        <w:t>Zaptera</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Settlement</w:t>
      </w:r>
      <w:r>
        <w:rPr>
          <w:rFonts w:ascii="Times New Roman" w:cs="Times New Roman" w:eastAsia="Times New Roman" w:hAnsi="Times New Roman"/>
          <w:sz w:val="18"/>
          <w:szCs w:val="18"/>
          <w:color w:val="auto"/>
        </w:rPr>
        <w:t>”). In connection with and as consideration for the Settlement, pursuant to an equity issuance agreement, on April 8, 2026, the Company agreed to issue to Zaptera 105,000 shares of the Company’s Class B common stock, par value $0.0001 per share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and warrants to purchase up to 210,000 shares of Class B common stock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The Warrants have an exercise price equal to $2.78. The issuance of the Shares and Warrants was made in a transaction exempt from registration in reliance on the exemption afforded by Section 4(a)(2) of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April 14, 2026, the Company issued a press release announcing the resolution of the litigation. A copy of the press release is attached as Exhibit 99.1 to this Current Report on Form 8-K and is hereby incorporated by reference herein.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under Item 7.01, including the information contained in Exhibit 99.1, is being furnished to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and shall not be deemed to be “filed” for the purposes of Section 18 of the Securities Exchange Act of 1934 or otherwise subject to the liabilities of that section, and shall not be deemed to be incorporated by reference into any filing under the Securities Act or the Securities Exchange Act of 1934, except as shall be expressly set forth by a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previously disclosed in certain of the Company’s filings with the SEC, in August 2024, Zaptera filed a complaint against the Company in the U.S. District Court for the Southern District of California, which was amended in February 2025. In June 2025, the Court dismissed a subset of claims and Zaptera filed a Second Amended Complaint on June 26, 2025. The Second Amended Complaint asserted certain claims against the Company and a group of individuals associated with the Company (collectively, the “</w:t>
      </w:r>
      <w:r>
        <w:rPr>
          <w:rFonts w:ascii="Times New Roman" w:cs="Times New Roman" w:eastAsia="Times New Roman" w:hAnsi="Times New Roman"/>
          <w:sz w:val="18"/>
          <w:szCs w:val="18"/>
          <w:b w:val="1"/>
          <w:bCs w:val="1"/>
          <w:color w:val="auto"/>
        </w:rPr>
        <w:t>Action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April 9, 2026, through a joint stipulation of the parties filed with the U.S. District Court for the Southern District of California, all claims in the Action were dismissed with prejudice. In connection with the resolution of the Action, the Company agreed to the issuance of equity consideration as discussed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The following exhibit is furnished with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900" w:type="dxa"/>
            <w:vAlign w:val="bottom"/>
          </w:tcPr>
          <w:p>
            <w:pPr>
              <w:spacing w:after="0"/>
              <w:rPr>
                <w:sz w:val="18"/>
                <w:szCs w:val="18"/>
                <w:color w:val="auto"/>
              </w:rPr>
            </w:pPr>
          </w:p>
        </w:tc>
      </w:tr>
      <w:tr>
        <w:trPr>
          <w:trHeight w:val="238"/>
        </w:trPr>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p>
        </w:tc>
        <w:tc>
          <w:tcPr>
            <w:tcW w:w="7900" w:type="dxa"/>
            <w:vAlign w:val="bottom"/>
            <w:tcBorders>
              <w:bottom w:val="single" w:sz="8" w:color="auto"/>
            </w:tcBorders>
          </w:tcPr>
          <w:p>
            <w:pPr>
              <w:ind w:left="22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66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4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dated April 14, 2026</w:t>
            </w:r>
          </w:p>
        </w:tc>
      </w:tr>
      <w:tr>
        <w:trPr>
          <w:trHeight w:val="20"/>
        </w:trPr>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237"/>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7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Aptera Motors Corp.</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Chris Anthony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Chris Anthony</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Co-Chief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Aptera Motors Resolves Legal Matter with Zaptera USA, Inc.</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Carlsbad, CA — April 14, 2026 — </w:t>
      </w:r>
      <w:r>
        <w:rPr>
          <w:rFonts w:ascii="Times New Roman" w:cs="Times New Roman" w:eastAsia="Times New Roman" w:hAnsi="Times New Roman"/>
          <w:sz w:val="18"/>
          <w:szCs w:val="18"/>
          <w:color w:val="auto"/>
        </w:rPr>
        <w:t>Aptera Motors Corp. (NASDAQ: SEV), a solar mobility company advancing ultra-efficient transportation,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Zaptera USA, Inc. (“Zaptera”) have resolved litigation originally filed by Zaptera in 2024. Zaptera has dismissed all claims with prejudice and without right of appeal, with each party to bear its own costs and attorney fees.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Chris Anthony, Co-CEO of Aptera, said: “Resolving this matter allows us to move forward with clarity and focus as we continue advancing our mission. Our team remains committed to delivering solar mobility to the world and accelerating the transition to more efficient, sustainable transportation. With this unnecessary distraction behind us, we continue to focus bringing our vehicle to market and scaling our impact.”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Aptera Motors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Aptera Motors Corp. (NASDAQ: SEV) is a solar mobility company driven by a mission to advance the future of efficient transportation. Its flagship vehicle is conceived to be a paradigm-shifting solar electric vehicle that leverages breakthroughs in aerodynamics, material science, and solar technology to pursue new levels of efficiency. As a public benefit corporation, Aptera is committed to building a sustainable business that positively impacts its stakeholders and the environment. Aptera is headquartered in Carlsbad, California. For more information, please visit www.aptera.us.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“safe harbor” provisions of the Private Securities Litigation Reform Act of 1995, including, but not limited to, statements regarding our plans and expectations for validation builds, future production, manufacturing and assembly scale-up, our plans after the settlement with Zaptera, and the settlement’s expected impact on our operations and focus.. These forward-looking statements are made as of the date they were first issued and were based on current expectations, estimates, forecasts and projections as well as the beliefs and assumptions of management. Words such as “expect,” “anticipate,” “should,” “believe,” “hope,” “target,” “project,” “goals,” “estimate,” “potential,” “predict,” “may,” “will,” “might,” “could,” “intend,” “shall,” “continue,” “advancing,” “scaling,” and variations of these terms or the negative of these terms and similar expressions are intended to identify these forward-looking statements.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Forward-looking statements are subject to a number of risks and uncertainties, many of which involve factors or circumstances that are beyond Aptera’s control. These risks include, among others, the possibility that the settlement may not achieve the anticipated benefits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supply chain delays and disruptions; our ability to hire key personnel; the feasibility and timing of scaling our assembly and integration processes; the availability and timing of required capital, and market conditions affecting financing; regulatory approvals and compliance; our ability to continue as a going concern absent additional financing; our ability to access capital under our equity line of credit and other sources on acceptable terms and timing, and other risks described in our filings with the Securities and Exchange Commission. The forward-looking statements included in this press release represent Aptera’s views as of the date of this press release. Aptera anticipates that subsequent events and developments will cause its views to change. Aptera undertakes no intention or obligation to update or revise any forward-looking statements, whether as a result of new information, future events or otherwise. These forward-looking statements should not be relied upon as representing Aptera’s views as of any date subsequent to the date of this press release.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Media@aptera.us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Aptera Motors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ir@aptera.us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2026-04-14T07:02:57Z</dcterms:created>
  <dcterms:modified xsi:type="dcterms:W3CDTF">2026-04-14T07:02:57Z</dcterms:modified>
</cp:coreProperties>
</file>