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a.htm"/>
      <w:bookmarkStart w:id="1" w:name="ksforms1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April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No. 333-294942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Amendment No. 1</w:t>
      </w:r>
      <w:r>
        <w:rPr>
          <w:rFonts w:ascii="Times New Roman;Times;Serif" w:hAnsi="Times New Roman;Times;Serif"/>
          <w:b w:val="false"/>
          <w:i w:val="false"/>
          <w:caps w:val="false"/>
          <w:smallCaps w:val="false"/>
          <w:sz w:val="36"/>
        </w:rPr>
        <w:t xml:space="preserve"> </w:t>
      </w:r>
    </w:p>
    <w:p>
      <w:pPr>
        <w:pStyle w:val="TextBody"/>
        <w:bidi w:val="0"/>
        <w:jc w:val="center"/>
        <w:rPr/>
      </w:pPr>
      <w:r>
        <w:rPr>
          <w:b/>
          <w:sz w:val="36"/>
        </w:rPr>
        <w:t>to</w:t>
      </w:r>
      <w:r>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2660"/>
        <w:gridCol w:w="60"/>
        <w:gridCol w:w="2525"/>
        <w:gridCol w:w="60"/>
        <w:gridCol w:w="1970"/>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5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83-4079594</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5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Carlsbad, California 92008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858-371-3151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 Anthony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Carlsbad, California 92008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858-371-3151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Traci M. Tomaselli,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L. Forman,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G. Zapf,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(646) 414-6926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time to time after this Registration Statement becomes effective, as determined by the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as amended, or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 Selling Stockholders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w:t>
      </w:r>
    </w:p>
    <w:p>
      <w:pPr>
        <w:pStyle w:val="TextBody"/>
        <w:bidi w:val="0"/>
        <w:spacing w:before="0" w:after="0"/>
        <w:ind w:left="0" w:right="0" w:hanging="0"/>
        <w:jc w:val="both"/>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2750"/>
        <w:gridCol w:w="2630"/>
        <w:gridCol w:w="2120"/>
      </w:tblGrid>
      <w:tr>
        <w:trPr/>
        <w:tc>
          <w:tcPr>
            <w:tcW w:w="275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12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APRIL 16,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1438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4382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4,751,250 Shares of 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 Upon Exercise of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up to 4,751,250 shares of Aptera Motors Corp. (the “Company,” “we,” “our” or “us”) Class B common stock, par value $0.0001 per share (the “Common Stock”), by the Selling Stockholders listed in this prospectus or their permitted transferees (the “Selling Stockholders”). The shares of Common Stock registered for resale pursuant to this prospectus consist of 4,751,250 shares of Common Stock issuable upon the exercise of warrants (the “Warrants”). The Warrants were issued to the Selling Stockholders in a private placement offering (the “Private Placement”) which closed on March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about the Private Placement, see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exercise price of $3.50 per share. The Warrants will be exercisable immediately and will expire on the five (5) year anniversary of their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sell, transfer or otherwise dispose of any or all of their shares of Common Stock or interests in their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for more information. We will not receive any proceeds from the resale or other disposition of the shares of Common Stock by the Selling Stockholders. However, we will receive the proceeds of any cash exercise of the Warrants.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beginning on page 10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11 of this prospectus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“SEV”. On April 7, 2026, the last reported sale price of our Common Stock as reported on Nasdaq was $2.78.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together with additional information described under the headings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carefully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investment in our securities involves a high degree of risk. Before deciding whether to invest in our securities, you should consider carefully the risks and uncertainties described in the section captioned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contained in our Annual Report on Form 10-K for the fiscal year ended December 31, 2025, filed with the Securities and Exchange Commission, or the SEC, on March 30, 2026 and our other filings we make with the Securities and Exchange Commission from time to time, which are incorporated by reference herein in their entirety, together with other information in this prospectus and the information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245"/>
        <w:gridCol w:w="245"/>
      </w:tblGrid>
      <w:tr>
        <w:trPr/>
        <w:tc>
          <w:tcPr>
            <w:tcW w:w="6245" w:type="dxa"/>
            <w:tcBorders/>
            <w:shd w:fill="CCEEFF" w:val="clear"/>
            <w:vAlign w:val="center"/>
          </w:tcPr>
          <w:p>
            <w:pPr>
              <w:pStyle w:val="TableContents"/>
              <w:bidi w:val="0"/>
              <w:spacing w:before="0" w:after="283"/>
              <w:jc w:val="left"/>
              <w:rPr/>
            </w:pPr>
            <w:hyperlink w:anchor="VK_001">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shd w:fill="FFFFFF" w:val="clear"/>
            <w:vAlign w:val="center"/>
          </w:tcPr>
          <w:p>
            <w:pPr>
              <w:pStyle w:val="TableContents"/>
              <w:bidi w:val="0"/>
              <w:spacing w:before="0" w:after="283"/>
              <w:jc w:val="left"/>
              <w:rPr/>
            </w:pPr>
            <w:hyperlink w:anchor="VK_002">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45" w:type="dxa"/>
            <w:tcBorders/>
            <w:shd w:fill="CCEEFF" w:val="clear"/>
            <w:vAlign w:val="center"/>
          </w:tcPr>
          <w:p>
            <w:pPr>
              <w:pStyle w:val="TableContents"/>
              <w:bidi w:val="0"/>
              <w:spacing w:before="0" w:after="283"/>
              <w:jc w:val="left"/>
              <w:rPr/>
            </w:pPr>
            <w:hyperlink w:anchor="VK_003">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45" w:type="dxa"/>
            <w:tcBorders/>
            <w:shd w:fill="FFFFFF" w:val="clear"/>
            <w:vAlign w:val="center"/>
          </w:tcPr>
          <w:p>
            <w:pPr>
              <w:pStyle w:val="TableContents"/>
              <w:bidi w:val="0"/>
              <w:spacing w:before="0" w:after="283"/>
              <w:jc w:val="left"/>
              <w:rPr/>
            </w:pPr>
            <w:hyperlink w:anchor="VK_004">
              <w:r>
                <w:rPr>
                  <w:rStyle w:val="InternetLink"/>
                  <w:rFonts w:ascii="Times New Roman;Times;Serif" w:hAnsi="Times New Roman;Times;Serif"/>
                  <w:b w:val="false"/>
                  <w:i w:val="false"/>
                  <w:caps w:val="false"/>
                  <w:smallCaps w:val="false"/>
                  <w:sz w:val="20"/>
                </w:rPr>
                <w:t>PRIVATE PLACEMENT</w:t>
              </w:r>
            </w:hyperlink>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CCEEFF" w:val="clear"/>
            <w:vAlign w:val="center"/>
          </w:tcPr>
          <w:p>
            <w:pPr>
              <w:pStyle w:val="TableContents"/>
              <w:bidi w:val="0"/>
              <w:spacing w:before="0" w:after="283"/>
              <w:jc w:val="left"/>
              <w:rPr/>
            </w:pPr>
            <w:hyperlink w:anchor="VK_005">
              <w:r>
                <w:rPr>
                  <w:rStyle w:val="InternetLink"/>
                  <w:rFonts w:ascii="Times New Roman;Times;Serif" w:hAnsi="Times New Roman;Times;Serif"/>
                  <w:b w:val="false"/>
                  <w:i w:val="false"/>
                  <w:caps w:val="false"/>
                  <w:smallCaps w:val="false"/>
                  <w:sz w:val="20"/>
                </w:rPr>
                <w:t>SELLING STOCKHOLDERS</w:t>
              </w:r>
            </w:hyperlink>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shd w:fill="FFFFFF" w:val="clear"/>
            <w:vAlign w:val="center"/>
          </w:tcPr>
          <w:p>
            <w:pPr>
              <w:pStyle w:val="TableContents"/>
              <w:bidi w:val="0"/>
              <w:spacing w:before="0" w:after="283"/>
              <w:jc w:val="left"/>
              <w:rPr/>
            </w:pPr>
            <w:hyperlink w:anchor="VK_006">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245" w:type="dxa"/>
            <w:tcBorders/>
            <w:shd w:fill="CCEEFF" w:val="clear"/>
            <w:vAlign w:val="center"/>
          </w:tcPr>
          <w:p>
            <w:pPr>
              <w:pStyle w:val="TableContents"/>
              <w:bidi w:val="0"/>
              <w:spacing w:before="0" w:after="283"/>
              <w:jc w:val="left"/>
              <w:rPr/>
            </w:pPr>
            <w:hyperlink w:anchor="VK_007">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245" w:type="dxa"/>
            <w:tcBorders/>
            <w:shd w:fill="FFFFFF" w:val="clear"/>
            <w:vAlign w:val="center"/>
          </w:tcPr>
          <w:p>
            <w:pPr>
              <w:pStyle w:val="TableContents"/>
              <w:bidi w:val="0"/>
              <w:spacing w:before="0" w:after="283"/>
              <w:jc w:val="left"/>
              <w:rPr/>
            </w:pPr>
            <w:hyperlink w:anchor="VK_008">
              <w:r>
                <w:rPr>
                  <w:rStyle w:val="InternetLink"/>
                  <w:rFonts w:ascii="Times New Roman;Times;Serif" w:hAnsi="Times New Roman;Times;Serif"/>
                  <w:b w:val="false"/>
                  <w:i w:val="false"/>
                  <w:caps w:val="false"/>
                  <w:smallCaps w:val="false"/>
                  <w:sz w:val="20"/>
                </w:rPr>
                <w:t>DESCRIPTION OF SECURITIES</w:t>
              </w:r>
            </w:hyperlink>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245" w:type="dxa"/>
            <w:tcBorders/>
            <w:shd w:fill="CCEEFF" w:val="clear"/>
            <w:vAlign w:val="center"/>
          </w:tcPr>
          <w:p>
            <w:pPr>
              <w:pStyle w:val="TableContents"/>
              <w:bidi w:val="0"/>
              <w:spacing w:before="0" w:after="283"/>
              <w:jc w:val="left"/>
              <w:rPr/>
            </w:pPr>
            <w:hyperlink w:anchor="VK_009">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FFFFFF" w:val="clear"/>
            <w:vAlign w:val="center"/>
          </w:tcPr>
          <w:p>
            <w:pPr>
              <w:pStyle w:val="TableContents"/>
              <w:bidi w:val="0"/>
              <w:spacing w:before="0" w:after="283"/>
              <w:jc w:val="left"/>
              <w:rPr/>
            </w:pPr>
            <w:hyperlink w:anchor="VK_010">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CCEEFF" w:val="clear"/>
            <w:vAlign w:val="center"/>
          </w:tcPr>
          <w:p>
            <w:pPr>
              <w:pStyle w:val="TableContents"/>
              <w:bidi w:val="0"/>
              <w:spacing w:before="0" w:after="283"/>
              <w:jc w:val="left"/>
              <w:rPr/>
            </w:pPr>
            <w:hyperlink w:anchor="VK_011">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FFFFFF" w:val="clear"/>
            <w:vAlign w:val="center"/>
          </w:tcPr>
          <w:p>
            <w:pPr>
              <w:pStyle w:val="TableContents"/>
              <w:bidi w:val="0"/>
              <w:spacing w:before="0" w:after="283"/>
              <w:jc w:val="left"/>
              <w:rPr/>
            </w:pPr>
            <w:hyperlink w:anchor="VK_012">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hanging="0"/>
        <w:jc w:val="center"/>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EXPLANATORY NOTE</w:t>
      </w:r>
      <w:r>
        <w:rPr>
          <w:rFonts w:ascii="Times New Roman;Times;Serif" w:hAnsi="Times New Roman;Times;Serif"/>
          <w:b w:val="false"/>
          <w:i w:val="false"/>
          <w:caps w:val="false"/>
          <w:smallCaps w:val="false"/>
          <w:sz w:val="20"/>
        </w:rPr>
        <w:t xml:space="preserve"> </w:t>
      </w:r>
    </w:p>
    <w:p>
      <w:pPr>
        <w:pStyle w:val="TextBody"/>
        <w:bidi w:val="0"/>
        <w:jc w:val="center"/>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is being filed solely to update the list of filings which are incorporated by reference into this Registration Statement on Form S-1. </w:t>
      </w:r>
    </w:p>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VK_001"/>
      <w:bookmarkEnd w:id="2"/>
      <w:r>
        <w:rPr>
          <w:rFonts w:ascii="Times New Roman;Times;Serif" w:hAnsi="Times New Roman;Times;Serif"/>
          <w:b/>
          <w:i w:val="false"/>
          <w:caps w:val="false"/>
          <w:smallCaps w:val="false"/>
          <w:sz w:val="20"/>
        </w:rPr>
        <w:t>PROSPECTUS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5, our consolidated financial statements and the related notes and the other information incorporated by reference into this prospectus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automotive technology company focused on developing and manufacturing highly efficient solar electric vehicles (SEVs). Our flagship vehicle, the Aptera, is a three-wheeled, two-passenger vehicle designed for efficiency and sustainability. We believe the Aptera’s unique design, incorporating solar charging capabilities and aerodynamic efficiency, will offer a compelling alternative to conventional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generate revenue primarily through the sale of our SEVs. Our current focus is on completing the development and commencing production of the Aptera. To date, we have not commenced production of our SEVs. We plan to offer various Aptera models with different features and price points. We may also explore other revenue streams in the future, such as providing charging infrastructure or developing related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Aptera is designed to be a highly efficient vehicle, minimizing energy consumption through its aerodynamic design and lightweight construction. Its integrated solar panels are intended to supplement battery charging, potentially allowing drivers to travel significant distances using only solar power. The Aptera is designed to be a practical and sustainable transportation solution for daily commuting and other driving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Aptera offers several competitive advantages,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 Efficiency:</w:t>
            </w:r>
            <w:r>
              <w:rPr>
                <w:rFonts w:ascii="Times New Roman;Times;Serif" w:hAnsi="Times New Roman;Times;Serif"/>
                <w:b w:val="false"/>
                <w:i w:val="false"/>
                <w:caps w:val="false"/>
                <w:smallCaps w:val="false"/>
                <w:sz w:val="20"/>
              </w:rPr>
              <w:t xml:space="preserve"> The Aptera’s aerodynamic design and lightweight construction contribute to its high energy efficiency.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Solar Charging:</w:t>
            </w:r>
            <w:r>
              <w:rPr>
                <w:rFonts w:ascii="Times New Roman;Times;Serif" w:hAnsi="Times New Roman;Times;Serif"/>
                <w:b w:val="false"/>
                <w:i w:val="false"/>
                <w:caps w:val="false"/>
                <w:smallCaps w:val="false"/>
                <w:sz w:val="20"/>
              </w:rPr>
              <w:t xml:space="preserve"> Integrated solar panels provide supplemental charging, potentially reducing reliance on traditional charging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Unique Design:</w:t>
            </w:r>
            <w:r>
              <w:rPr>
                <w:rFonts w:ascii="Times New Roman;Times;Serif" w:hAnsi="Times New Roman;Times;Serif"/>
                <w:b w:val="false"/>
                <w:i w:val="false"/>
                <w:caps w:val="false"/>
                <w:smallCaps w:val="false"/>
                <w:sz w:val="20"/>
              </w:rPr>
              <w:t xml:space="preserve"> The Aptera’s distinctive three-wheeled design differentiates it from conventional vehicles.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Sustainability: </w:t>
            </w:r>
            <w:r>
              <w:rPr>
                <w:rFonts w:ascii="Times New Roman;Times;Serif" w:hAnsi="Times New Roman;Times;Serif"/>
                <w:b w:val="false"/>
                <w:i w:val="false"/>
                <w:caps w:val="false"/>
                <w:smallCaps w:val="false"/>
                <w:sz w:val="20"/>
              </w:rPr>
              <w:t>The Aptera’s electric powertrain and solar charging capabilities contribute to a reduced environmental footprint.</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numerous challenges in developing and commercializing the Aptera,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Production: </w:t>
            </w:r>
            <w:r>
              <w:rPr>
                <w:rFonts w:ascii="Times New Roman;Times;Serif" w:hAnsi="Times New Roman;Times;Serif"/>
                <w:b w:val="false"/>
                <w:i w:val="false"/>
                <w:caps w:val="false"/>
                <w:smallCaps w:val="false"/>
                <w:sz w:val="20"/>
              </w:rPr>
              <w:t>We have not yet commenced production of the Aptera and face risks associated with scaling production.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Competition: </w:t>
            </w:r>
            <w:r>
              <w:rPr>
                <w:rFonts w:ascii="Times New Roman;Times;Serif" w:hAnsi="Times New Roman;Times;Serif"/>
                <w:b w:val="false"/>
                <w:i w:val="false"/>
                <w:caps w:val="false"/>
                <w:smallCaps w:val="false"/>
                <w:sz w:val="20"/>
              </w:rPr>
              <w:t>The passenger vehicle industry is highly competitive, and we face competition from established automakers and other electric vehicle manufacturers.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Technology: </w:t>
            </w:r>
            <w:r>
              <w:rPr>
                <w:rFonts w:ascii="Times New Roman;Times;Serif" w:hAnsi="Times New Roman;Times;Serif"/>
                <w:b w:val="false"/>
                <w:i w:val="false"/>
                <w:caps w:val="false"/>
                <w:smallCaps w:val="false"/>
                <w:sz w:val="20"/>
              </w:rPr>
              <w:t>The development of advanced technologies, such as solar charging and battery systems, involves technical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Funding: </w:t>
            </w:r>
            <w:r>
              <w:rPr>
                <w:rFonts w:ascii="Times New Roman;Times;Serif" w:hAnsi="Times New Roman;Times;Serif"/>
                <w:b w:val="false"/>
                <w:i w:val="false"/>
                <w:caps w:val="false"/>
                <w:smallCaps w:val="false"/>
                <w:sz w:val="20"/>
              </w:rPr>
              <w:t>We will require significant additional capital to fund our operations and achieve our business objectives.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was formed on March 4, 2019 under the laws of the state of Delaware, and is a public benefit corporation in Delaware. Our headquarters are located in Carlsbad, California. Our website address is www.aptera.us.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classes of authorized common stock - Class B common stock and Class A common stock. The rights of the holders of Class A common stock and Class B common stock are identical, except that our Class B common stock is non-voting and is not entitled to any votes on any matter that is submitted to a vote of our stockholders, except as required by Delaware law. Each share of Class A common stock is entitled to one vote and is convertible at any time into one share of Class B common stock. The Class B common stock has no voting rights, except as required by Delaware General Corporation Law. However, upon and following the Final Conversion Date, defined as the date that no shares of Class A common stock remain outstanding, holders of Class B common stock will be entitled to one vote per share.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 See “</w:t>
      </w:r>
      <w:r>
        <w:rPr>
          <w:rFonts w:ascii="Times New Roman;Times;Serif" w:hAnsi="Times New Roman;Times;Serif"/>
          <w:b w:val="false"/>
          <w:i/>
          <w:caps w:val="false"/>
          <w:smallCaps w:val="false"/>
          <w:sz w:val="20"/>
        </w:rPr>
        <w:t>Description of Capital Stock - Common Stock - Voting Rights” and “Description of Capital Stock - Preferred Stock - 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Channels for Disclosure of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announce material information to the public through filings with the SEC, the investor relations page on our website (www.aptera.us), press releases, public conference calls, public webcasts, and our social media pages.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by the foregoing channels could be deemed to be material information. As such, we encourage investors, the media, and others to follow the channels listed above and to review the information disclosed through such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updates to the list of disclosure channels through which we will announce information will be posted on the investor relations page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our most recently completed fiscal year, we qualify as an “emerging growth company” as defined in Section 2(a) of the Securities Act as modified by the Jumpstart Our Business Startups Act of 2012, or the JOBS Act. As an emerging growth company,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specified reduced disclosure and other requirements that are otherwise applicable, in general, to public companies that are not emerging growth companies. These provisions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only two years of related Management’s Discussion and Analysis of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auditor attestation requirement on the effectiveness of our internal control over financial reporting pursuant to the Sarbanes-Oxley Act of 2002;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about our executive compensation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to obtain a non-binding advisory vote on executive compensation or a stockholder approval of any golden parachute arrangements;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transition periods for complying with new or revised accounting standards.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date of our first public equity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exemptions until such time as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that have adopted the new or revised accounting standards. It is possible that some investors will find our Class B common stock less attractive as a result, which may result in a less active trading market for our Class B common stock and higher volatility in the stock price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Benefit Corporation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demonstration of our long-term commitment to promote solar mobility and to work towards positively impacting the communities in which we operate, we are treated as a public benefit corporation under Delaware law. As provided in the Amended &amp; Restated Certificate of Incorporation (our “Amended Charter”), the public benefits that we promote, and pursuant to which we manage our Company, are to break the chains of energy dependence by championing solar mobility-liberating communities, restoring sustainability, and forging a future where power belongs to the people. Being a public benefit corporation underscores our commitment to our purpose and our stakeholders, including consumers and customers, communities, and stockholders. See the section titled “</w:t>
      </w:r>
      <w:r>
        <w:rPr>
          <w:rFonts w:ascii="Times New Roman;Times;Serif" w:hAnsi="Times New Roman;Times;Serif"/>
          <w:b w:val="false"/>
          <w:i/>
          <w:caps w:val="false"/>
          <w:smallCaps w:val="false"/>
          <w:sz w:val="20"/>
        </w:rPr>
        <w:t>Description of Capital Stock-Public Benefit Corporation Status</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“SEV.”</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7"/>
        <w:gridCol w:w="60"/>
        <w:gridCol w:w="8378"/>
      </w:tblGrid>
      <w:tr>
        <w:trPr/>
        <w:tc>
          <w:tcPr>
            <w:tcW w:w="17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offered by the Selling Stockholders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4,751,250 shares of Common Stock issuable upon exercise of the Warrants. </w:t>
            </w:r>
          </w:p>
        </w:tc>
      </w:tr>
      <w:tr>
        <w:trPr/>
        <w:tc>
          <w:tcPr>
            <w:tcW w:w="17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shares of Common Stock offered by the Selling Stockholders pursuant to this prospectus. However, we will receive the proceeds of any cash exercise of the Warrants. We intend to use the net proceeds from any cash exercise of the Warrants for working capital and general corporate purposes. Please see the section entitled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on page 10 of this prospectus for a more detailed discussion.</w:t>
            </w:r>
          </w:p>
        </w:tc>
      </w:tr>
      <w:tr>
        <w:trPr/>
        <w:tc>
          <w:tcPr>
            <w:tcW w:w="17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National Securities Exchange 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currently listed on Nasdaq under the symbol “SEV”. </w:t>
            </w:r>
          </w:p>
        </w:tc>
      </w:tr>
      <w:tr>
        <w:trPr/>
        <w:tc>
          <w:tcPr>
            <w:tcW w:w="17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Please see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5 of this prospectus. In addition before deciding whether to invest in our securities, you should consider carefully the risks and uncertainties described in the section captioned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our Annual Report on Form 10-K for the fiscal year ended December 31, 2025 filed with the SEC on March 30, 2026, and other filings we make with the SEC from time to time, which are incorporated by reference herein in their entirety, together with other information in this prospectus and the information incorporated by reference herein.</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VK_002"/>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Before deciding whether to invest in our securities, you should consider carefully the risks and uncertainties described in the section captioned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our Annual Report on Form 10-K for the fiscal year ended December 31, 2025 filed with the SEC on March 30, 2026, and our other filings we make with the SEC from time to time, which are incorporated by reference herein in their entirety, together with other information in this prospectus and the information incorporated by reference herein. Additional risks and uncertainties of which we are unaware, or that we currently deem immaterial, also may become important factors that affect us. You should also carefully consider the other information included or incorporated by reference in this prospectus. Each of the risks described in these documents could materially and adversely affect our business, financial condition, results of operations and prospects, and could result in a partial or complete loss of your investment. If any of these risks actually occurs, our business, financial condition, results of operations or cash flow could suffer materially. In such an event, the trading price of our shares of Common Stock could decline, and you might lose all or part of your investment.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VK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historical information, this prospectus and the documents incorporated herein by reference contain forward-looking statements within the meaning of Section 27A of the Securities Act of 1933, as amended, (the “Securities Act”) and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maintain future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raise capital to fund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and our ability to effectively manage our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well-established competitors and new entrants;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navigate the regulatory environment applicable to our operations and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begin manufacturing our vehicles at scale;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employees and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beliefs and objectives for future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protect, and enhance our brand and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stay in compliance with laws and regulations that currently apply or become applicable to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industry trends, projected growth, or trend analysis;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expenses associated with being a public company.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and the documents we incorporate by reference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and the documents we incorporate by reference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VK_004"/>
      <w:bookmarkEnd w:id="5"/>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2026, we entered into an inducement offer letter agreement (the “Inducement Letter”) with certain holders (the “Holders”) of certain of our existing warrants to purchase up to an aggregate of 3,167,500 shares of our Common Stock issued to the Holders on January 26, 2026 (the “Existing Warrants”). The Existing Warrants had an exercise price of $2.00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the Holders agreed to exercise for cash their Existing Warrants at an exercise price of $2.00 per share in consideration for our agreement to issue in a private placement warrants to purchase up to an aggregate of 4,751,250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on March 12, 2026 (the “Closing Date”). We received aggregate gross proceeds of approximately $6.34 million from the exercise of the Existing Warrants by the Holders, before deducting financial advisory fees and other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we agreed to file a registration statement on Form S-1 providing for the resale of the Warrant Shares as soon as reasonably practicable after the Closing Date (and in any event within 10 calendar days of the filing of the Company’s Annual Report on Form 10-K (the “10-K Filing Date”)), and to use commercially reasonable efforts to cause such registration statement to be declared effective by the SEC within 60 days following the 10-K Filing Date (or within 90 calendar days in case of “full review” by the SEC) and to keep such registration statement effective at all times until the Holders no longer own any Warrants or the shares issuable upon exercise thereof. We have filed the registration statement of which this prospectus forms a part pursuant to the Inducement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A.G.P./Alliance Global Partners (the “Financial Advisor”) to act as financial advisor in connection with the transactions summarized above and paid the Financial Advisor a fee equal to 6% of the gross proceeds raised in the transaction and reimburse the Financial Advisor for legal expenses incurred in connection with the transaction not to exceed $25,000.</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VK_005"/>
      <w:bookmarkEnd w:id="6"/>
      <w:r>
        <w:rPr>
          <w:rFonts w:ascii="Times New Roman;Times;Serif" w:hAnsi="Times New Roman;Times;Serif"/>
          <w:b/>
          <w:i w:val="false"/>
          <w:caps w:val="false"/>
          <w:smallCaps w:val="false"/>
          <w:sz w:val="20"/>
        </w:rPr>
        <w:t>SELLING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or other disposition by the Selling Stockholders identified in the table below of up to an aggregate 4,751,250 shares of our Common Stock issuable upon the exercise of the Warrants. The Selling Stockholders acquired their securities in the transactions described above under the heading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held by the Selling Stockholders contain limitations which prevent the holder from exercising such Warrants if such exercise would cause the Selling Stockholder, together with certain related parties, to beneficially own a number of shares of Common Stock which would exceed 4.99% or 9.99% of our then outstanding shares of Common Stock following such exercise, excluding for purposes of such determination, shares of Common Stock issuable upon exercise of the Warrants which have not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March 31, 2026, the following information regarding the Selling Stockholders: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Selling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owned by the Selling Stockholders prior to this offering, without regard to any beneficial ownership limitations contained in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offered by the Selling Stockholders in this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owned by the Selling Stockholders assuming the sale of all of the shares of Common Stock covered by this prospectus;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percentage of our issued and outstanding shares of Common Stock to be owned by Selling Stockholders assuming the sale of all of the shares of Common Stock covered by this prospectus based on the number of shares of Common Stock issued and outstanding as of March 31, 2026.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 number of shares of Common Stock beneficially owned by the Selling Stockholder has been determined in accordance with Rule 13d-3 under the Exchange Act and includes, for such purpose, shares of Common Stock that the Selling Stockholder has the right to acquire within 60 days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the Common Stock ownership of the Selling Stockholders has been furnished by or on behalf of the Selling Stockholders. We believe, based on information supplied by the Selling Stockholders, that except as may otherwise be indicated in the footnotes to the table below, the Selling Stockholder has sole voting and dispositive power with respect to the shares of Common Stock reported as beneficially owned by the Selling Stockholders. Because the Selling Stockholders identified in the table may sell some or all of the shares of Common Stock beneficially owned by them and covered by this prospectus, and because there are currently no agreements, arrangements or understandings with respect to the sale of any of the shares of Common Stock, no estimate can be given as to the number of shares of Common Stock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shares of Common Stock they beneficially own in transactions exempt from the registration requirements of the Securities Act after the date on which they provided the information set forth in the table below. We have, therefore, assumed for the purposes of the following table, that the Selling Stockholders will sell all of the shares of Common Stock owned beneficially by it that are covered by this prospectus, but will not sell any other shares of Common Stock that they presently own. Except as set forth below, the Selling Stockholders have not held any position or office, or have otherwise had a material relationship, with us or any of our subsidiaries within the past three years other than as a result of the ownership of our shares of Common Stock or other securities.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35"/>
        <w:gridCol w:w="60"/>
        <w:gridCol w:w="78"/>
        <w:gridCol w:w="1117"/>
        <w:gridCol w:w="315"/>
        <w:gridCol w:w="60"/>
        <w:gridCol w:w="162"/>
        <w:gridCol w:w="1199"/>
        <w:gridCol w:w="215"/>
        <w:gridCol w:w="60"/>
        <w:gridCol w:w="63"/>
        <w:gridCol w:w="1045"/>
        <w:gridCol w:w="60"/>
        <w:gridCol w:w="60"/>
        <w:gridCol w:w="351"/>
        <w:gridCol w:w="821"/>
        <w:gridCol w:w="60"/>
        <w:gridCol w:w="60"/>
        <w:gridCol w:w="501"/>
        <w:gridCol w:w="1045"/>
        <w:gridCol w:w="238"/>
      </w:tblGrid>
      <w:tr>
        <w:trPr/>
        <w:tc>
          <w:tcPr>
            <w:tcW w:w="2635" w:type="dxa"/>
            <w:tcBorders>
              <w:bottom w:val="single" w:sz="8" w:space="0" w:color="000000"/>
            </w:tcBorders>
            <w:vAlign w:val="center"/>
          </w:tcPr>
          <w:p>
            <w:pPr>
              <w:pStyle w:val="TableContents"/>
              <w:bidi w:val="0"/>
              <w:spacing w:before="0" w:after="283"/>
              <w:jc w:val="left"/>
              <w:rPr>
                <w:b/>
              </w:rPr>
            </w:pPr>
            <w:r>
              <w:rPr>
                <w:b/>
              </w:rPr>
              <w:t>Name of Selling Stockholders</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jc w:val="center"/>
              <w:rPr>
                <w:b/>
              </w:rPr>
            </w:pPr>
            <w:r>
              <w:rPr>
                <w:b/>
              </w:rPr>
              <w:t>Shares</w:t>
            </w:r>
          </w:p>
          <w:p>
            <w:pPr>
              <w:pStyle w:val="TableContents"/>
              <w:bidi w:val="0"/>
              <w:jc w:val="center"/>
              <w:rPr>
                <w:b/>
              </w:rPr>
            </w:pPr>
            <w:r>
              <w:rPr>
                <w:b/>
              </w:rPr>
              <w:t>Beneficially</w:t>
            </w:r>
          </w:p>
          <w:p>
            <w:pPr>
              <w:pStyle w:val="TableContents"/>
              <w:bidi w:val="0"/>
              <w:jc w:val="center"/>
              <w:rPr>
                <w:b/>
              </w:rPr>
            </w:pPr>
            <w:r>
              <w:rPr>
                <w:b/>
              </w:rPr>
              <w:t>Owned</w:t>
            </w:r>
          </w:p>
          <w:p>
            <w:pPr>
              <w:pStyle w:val="TableContents"/>
              <w:bidi w:val="0"/>
              <w:jc w:val="center"/>
              <w:rPr>
                <w:b/>
              </w:rPr>
            </w:pPr>
            <w:r>
              <w:rPr>
                <w:b/>
              </w:rPr>
              <w:t>Prior to</w:t>
            </w:r>
          </w:p>
          <w:p>
            <w:pPr>
              <w:pStyle w:val="TableContents"/>
              <w:bidi w:val="0"/>
              <w:spacing w:before="0" w:after="283"/>
              <w:jc w:val="center"/>
              <w:rPr>
                <w:b/>
              </w:rPr>
            </w:pPr>
            <w:r>
              <w:rPr>
                <w:b/>
              </w:rPr>
              <w:t>Offering (1)</w:t>
            </w:r>
          </w:p>
        </w:tc>
        <w:tc>
          <w:tcPr>
            <w:tcW w:w="315"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left"/>
              <w:rPr/>
            </w:pPr>
            <w:r>
              <w:rPr/>
              <w:t> </w:t>
            </w:r>
          </w:p>
        </w:tc>
        <w:tc>
          <w:tcPr>
            <w:tcW w:w="1361" w:type="dxa"/>
            <w:gridSpan w:val="2"/>
            <w:tcBorders>
              <w:bottom w:val="single" w:sz="8" w:space="0" w:color="000000"/>
            </w:tcBorders>
            <w:vAlign w:val="center"/>
          </w:tcPr>
          <w:p>
            <w:pPr>
              <w:pStyle w:val="TableContents"/>
              <w:bidi w:val="0"/>
              <w:jc w:val="center"/>
              <w:rPr>
                <w:b/>
              </w:rPr>
            </w:pPr>
            <w:r>
              <w:rPr>
                <w:b/>
              </w:rPr>
              <w:t>Percentage of</w:t>
            </w:r>
          </w:p>
          <w:p>
            <w:pPr>
              <w:pStyle w:val="TableContents"/>
              <w:bidi w:val="0"/>
              <w:jc w:val="center"/>
              <w:rPr>
                <w:b/>
              </w:rPr>
            </w:pPr>
            <w:r>
              <w:rPr>
                <w:b/>
              </w:rPr>
              <w:t>Outstanding</w:t>
            </w:r>
          </w:p>
          <w:p>
            <w:pPr>
              <w:pStyle w:val="TableContents"/>
              <w:bidi w:val="0"/>
              <w:jc w:val="center"/>
              <w:rPr>
                <w:b/>
              </w:rPr>
            </w:pPr>
            <w:r>
              <w:rPr>
                <w:b/>
              </w:rPr>
              <w:t>Shares Prior</w:t>
            </w:r>
          </w:p>
          <w:p>
            <w:pPr>
              <w:pStyle w:val="TableContents"/>
              <w:bidi w:val="0"/>
              <w:jc w:val="center"/>
              <w:rPr>
                <w:b/>
              </w:rPr>
            </w:pPr>
            <w:r>
              <w:rPr>
                <w:b/>
              </w:rPr>
              <w:t>to the</w:t>
            </w:r>
          </w:p>
          <w:p>
            <w:pPr>
              <w:pStyle w:val="TableContents"/>
              <w:bidi w:val="0"/>
              <w:spacing w:before="0" w:after="283"/>
              <w:jc w:val="center"/>
              <w:rPr>
                <w:b/>
              </w:rPr>
            </w:pPr>
            <w:r>
              <w:rPr>
                <w:b/>
              </w:rPr>
              <w:t>Offering (1)(2)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8"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this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2"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Beneficially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 the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Offering (1)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6" w:type="dxa"/>
            <w:gridSpan w:val="2"/>
            <w:tcBorders>
              <w:bottom w:val="single" w:sz="8" w:space="0" w:color="000000"/>
            </w:tcBorders>
            <w:vAlign w:val="center"/>
          </w:tcPr>
          <w:p>
            <w:pPr>
              <w:pStyle w:val="TableContents"/>
              <w:bidi w:val="0"/>
              <w:jc w:val="center"/>
              <w:rPr>
                <w:b/>
              </w:rPr>
            </w:pPr>
            <w:r>
              <w:rPr>
                <w:b/>
              </w:rPr>
              <w:t>Percentage of</w:t>
            </w:r>
          </w:p>
          <w:p>
            <w:pPr>
              <w:pStyle w:val="TableContents"/>
              <w:bidi w:val="0"/>
              <w:jc w:val="center"/>
              <w:rPr>
                <w:b/>
              </w:rPr>
            </w:pPr>
            <w:r>
              <w:rPr>
                <w:b/>
              </w:rPr>
              <w:t>Outstanding</w:t>
            </w:r>
          </w:p>
          <w:p>
            <w:pPr>
              <w:pStyle w:val="TableContents"/>
              <w:bidi w:val="0"/>
              <w:jc w:val="center"/>
              <w:rPr>
                <w:b/>
              </w:rPr>
            </w:pPr>
            <w:r>
              <w:rPr>
                <w:b/>
              </w:rPr>
              <w:t>Shares After</w:t>
            </w:r>
          </w:p>
          <w:p>
            <w:pPr>
              <w:pStyle w:val="TableContents"/>
              <w:bidi w:val="0"/>
              <w:spacing w:before="0" w:after="283"/>
              <w:jc w:val="center"/>
              <w:rPr>
                <w:b/>
              </w:rPr>
            </w:pPr>
            <w:r>
              <w:rPr>
                <w:b/>
              </w:rPr>
              <w:t>the Offering (1) (2)</w:t>
            </w:r>
          </w:p>
        </w:tc>
        <w:tc>
          <w:tcPr>
            <w:tcW w:w="238" w:type="dxa"/>
            <w:tcBorders/>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283"/>
              <w:jc w:val="left"/>
              <w:rPr/>
            </w:pPr>
            <w:r>
              <w:rPr/>
              <w:t>Polar Asset Management Partners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2,250,000 </w:t>
            </w:r>
          </w:p>
        </w:tc>
        <w:tc>
          <w:tcPr>
            <w:tcW w:w="3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7.41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2,250,000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82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1"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tcMar>
              <w:bottom w:w="0" w:type="dxa"/>
            </w:tcMar>
            <w:vAlign w:val="center"/>
          </w:tcPr>
          <w:p>
            <w:pPr>
              <w:pStyle w:val="TableContents"/>
              <w:bidi w:val="0"/>
              <w:spacing w:before="0" w:after="283"/>
              <w:jc w:val="left"/>
              <w:rPr/>
            </w:pPr>
            <w:r>
              <w:rPr/>
              <w:t>%</w:t>
            </w:r>
          </w:p>
        </w:tc>
      </w:tr>
      <w:tr>
        <w:trPr/>
        <w:tc>
          <w:tcPr>
            <w:tcW w:w="2635" w:type="dxa"/>
            <w:tcBorders/>
            <w:shd w:fill="FFFFFF" w:val="clear"/>
            <w:tcMar>
              <w:bottom w:w="0" w:type="dxa"/>
            </w:tcMar>
            <w:vAlign w:val="center"/>
          </w:tcPr>
          <w:p>
            <w:pPr>
              <w:pStyle w:val="TableContents"/>
              <w:bidi w:val="0"/>
              <w:spacing w:before="0" w:after="283"/>
              <w:jc w:val="left"/>
              <w:rPr/>
            </w:pPr>
            <w:r>
              <w:rPr/>
              <w:t>Heights Capital Management,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562,500 </w:t>
            </w:r>
          </w:p>
        </w:tc>
        <w:tc>
          <w:tcPr>
            <w:tcW w:w="31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1.96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562,500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82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tcMar>
              <w:bottom w:w="0" w:type="dxa"/>
            </w:tcMar>
            <w:vAlign w:val="center"/>
          </w:tcPr>
          <w:p>
            <w:pPr>
              <w:pStyle w:val="TableContents"/>
              <w:bidi w:val="0"/>
              <w:spacing w:before="0" w:after="283"/>
              <w:jc w:val="left"/>
              <w:rPr/>
            </w:pPr>
            <w:r>
              <w:rPr/>
              <w:t>%</w:t>
            </w:r>
          </w:p>
        </w:tc>
      </w:tr>
      <w:tr>
        <w:trPr/>
        <w:tc>
          <w:tcPr>
            <w:tcW w:w="2635" w:type="dxa"/>
            <w:tcBorders/>
            <w:shd w:fill="CCEEFF" w:val="clear"/>
            <w:tcMar>
              <w:bottom w:w="0" w:type="dxa"/>
            </w:tcMar>
            <w:vAlign w:val="center"/>
          </w:tcPr>
          <w:p>
            <w:pPr>
              <w:pStyle w:val="TableContents"/>
              <w:bidi w:val="0"/>
              <w:spacing w:before="0" w:after="283"/>
              <w:jc w:val="left"/>
              <w:rPr/>
            </w:pPr>
            <w:r>
              <w:rPr/>
              <w:t>Hudson Bay Master Fund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562,500 </w:t>
            </w:r>
          </w:p>
        </w:tc>
        <w:tc>
          <w:tcPr>
            <w:tcW w:w="3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1.96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562,500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82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1"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tcMar>
              <w:bottom w:w="0" w:type="dxa"/>
            </w:tcMar>
            <w:vAlign w:val="center"/>
          </w:tcPr>
          <w:p>
            <w:pPr>
              <w:pStyle w:val="TableContents"/>
              <w:bidi w:val="0"/>
              <w:spacing w:before="0" w:after="283"/>
              <w:jc w:val="left"/>
              <w:rPr/>
            </w:pPr>
            <w:r>
              <w:rPr/>
              <w:t>%</w:t>
            </w:r>
          </w:p>
        </w:tc>
      </w:tr>
      <w:tr>
        <w:trPr/>
        <w:tc>
          <w:tcPr>
            <w:tcW w:w="2635" w:type="dxa"/>
            <w:tcBorders/>
            <w:shd w:fill="FFFFFF" w:val="clear"/>
            <w:tcMar>
              <w:bottom w:w="0" w:type="dxa"/>
            </w:tcMar>
            <w:vAlign w:val="center"/>
          </w:tcPr>
          <w:p>
            <w:pPr>
              <w:pStyle w:val="TableContents"/>
              <w:bidi w:val="0"/>
              <w:spacing w:before="0" w:after="283"/>
              <w:jc w:val="left"/>
              <w:rPr/>
            </w:pPr>
            <w:r>
              <w:rPr/>
              <w:t>Intracoastal Capital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495,000 </w:t>
            </w:r>
          </w:p>
        </w:tc>
        <w:tc>
          <w:tcPr>
            <w:tcW w:w="31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1.73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495,000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82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tcMar>
              <w:bottom w:w="0" w:type="dxa"/>
            </w:tcMar>
            <w:vAlign w:val="center"/>
          </w:tcPr>
          <w:p>
            <w:pPr>
              <w:pStyle w:val="TableContents"/>
              <w:bidi w:val="0"/>
              <w:spacing w:before="0" w:after="283"/>
              <w:jc w:val="left"/>
              <w:rPr/>
            </w:pPr>
            <w:r>
              <w:rPr/>
              <w:t>%</w:t>
            </w:r>
          </w:p>
        </w:tc>
      </w:tr>
      <w:tr>
        <w:trPr/>
        <w:tc>
          <w:tcPr>
            <w:tcW w:w="2635" w:type="dxa"/>
            <w:tcBorders/>
            <w:shd w:fill="CCEEFF" w:val="clear"/>
            <w:tcMar>
              <w:bottom w:w="0" w:type="dxa"/>
            </w:tcMar>
            <w:vAlign w:val="center"/>
          </w:tcPr>
          <w:p>
            <w:pPr>
              <w:pStyle w:val="TableContents"/>
              <w:bidi w:val="0"/>
              <w:spacing w:before="0" w:after="283"/>
              <w:jc w:val="left"/>
              <w:rPr/>
            </w:pPr>
            <w:r>
              <w:rPr/>
              <w:t>Robert Forster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262,500 </w:t>
            </w:r>
          </w:p>
        </w:tc>
        <w:tc>
          <w:tcPr>
            <w:tcW w:w="3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262,500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82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1"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tcMar>
              <w:bottom w:w="0" w:type="dxa"/>
            </w:tcMar>
            <w:vAlign w:val="center"/>
          </w:tcPr>
          <w:p>
            <w:pPr>
              <w:pStyle w:val="TableContents"/>
              <w:bidi w:val="0"/>
              <w:spacing w:before="0" w:after="283"/>
              <w:jc w:val="left"/>
              <w:rPr/>
            </w:pPr>
            <w:r>
              <w:rPr/>
              <w:t>%</w:t>
            </w:r>
          </w:p>
        </w:tc>
      </w:tr>
      <w:tr>
        <w:trPr/>
        <w:tc>
          <w:tcPr>
            <w:tcW w:w="2635" w:type="dxa"/>
            <w:tcBorders/>
            <w:shd w:fill="FFFFFF" w:val="clear"/>
            <w:tcMar>
              <w:bottom w:w="0" w:type="dxa"/>
            </w:tcMar>
            <w:vAlign w:val="center"/>
          </w:tcPr>
          <w:p>
            <w:pPr>
              <w:pStyle w:val="TableContents"/>
              <w:bidi w:val="0"/>
              <w:spacing w:before="0" w:after="283"/>
              <w:jc w:val="left"/>
              <w:rPr/>
            </w:pPr>
            <w:r>
              <w:rPr/>
              <w:t>KBB Asset Management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195,000 </w:t>
            </w:r>
          </w:p>
        </w:tc>
        <w:tc>
          <w:tcPr>
            <w:tcW w:w="31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195,000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82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tcMar>
              <w:bottom w:w="0" w:type="dxa"/>
            </w:tcMar>
            <w:vAlign w:val="center"/>
          </w:tcPr>
          <w:p>
            <w:pPr>
              <w:pStyle w:val="TableContents"/>
              <w:bidi w:val="0"/>
              <w:spacing w:before="0" w:after="283"/>
              <w:jc w:val="left"/>
              <w:rPr/>
            </w:pPr>
            <w:r>
              <w:rPr/>
              <w:t>%</w:t>
            </w:r>
          </w:p>
        </w:tc>
      </w:tr>
      <w:tr>
        <w:trPr/>
        <w:tc>
          <w:tcPr>
            <w:tcW w:w="2635" w:type="dxa"/>
            <w:tcBorders/>
            <w:shd w:fill="CCEEFF" w:val="clear"/>
            <w:tcMar>
              <w:bottom w:w="0" w:type="dxa"/>
            </w:tcMar>
            <w:vAlign w:val="center"/>
          </w:tcPr>
          <w:p>
            <w:pPr>
              <w:pStyle w:val="TableContents"/>
              <w:bidi w:val="0"/>
              <w:spacing w:before="0" w:after="283"/>
              <w:jc w:val="left"/>
              <w:rPr/>
            </w:pPr>
            <w:r>
              <w:rPr/>
              <w:t>Mank Capital,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150,000 </w:t>
            </w:r>
          </w:p>
        </w:tc>
        <w:tc>
          <w:tcPr>
            <w:tcW w:w="3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82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1"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tcMar>
              <w:bottom w:w="0" w:type="dxa"/>
            </w:tcMar>
            <w:vAlign w:val="center"/>
          </w:tcPr>
          <w:p>
            <w:pPr>
              <w:pStyle w:val="TableContents"/>
              <w:bidi w:val="0"/>
              <w:spacing w:before="0" w:after="283"/>
              <w:jc w:val="left"/>
              <w:rPr/>
            </w:pPr>
            <w:r>
              <w:rPr/>
              <w:t>%</w:t>
            </w:r>
          </w:p>
        </w:tc>
      </w:tr>
      <w:tr>
        <w:trPr/>
        <w:tc>
          <w:tcPr>
            <w:tcW w:w="2635" w:type="dxa"/>
            <w:tcBorders/>
            <w:shd w:fill="FFFFFF" w:val="clear"/>
            <w:tcMar>
              <w:bottom w:w="0" w:type="dxa"/>
            </w:tcMar>
            <w:vAlign w:val="center"/>
          </w:tcPr>
          <w:p>
            <w:pPr>
              <w:pStyle w:val="TableContents"/>
              <w:bidi w:val="0"/>
              <w:spacing w:before="0" w:after="283"/>
              <w:jc w:val="left"/>
              <w:rPr/>
            </w:pPr>
            <w:r>
              <w:rPr/>
              <w:t>Aramas Capital Management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112,500 </w:t>
            </w:r>
          </w:p>
        </w:tc>
        <w:tc>
          <w:tcPr>
            <w:tcW w:w="31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112,500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82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tcMar>
              <w:bottom w:w="0" w:type="dxa"/>
            </w:tcMar>
            <w:vAlign w:val="center"/>
          </w:tcPr>
          <w:p>
            <w:pPr>
              <w:pStyle w:val="TableContents"/>
              <w:bidi w:val="0"/>
              <w:spacing w:before="0" w:after="283"/>
              <w:jc w:val="left"/>
              <w:rPr/>
            </w:pPr>
            <w:r>
              <w:rPr/>
              <w:t>%</w:t>
            </w:r>
          </w:p>
        </w:tc>
      </w:tr>
      <w:tr>
        <w:trPr/>
        <w:tc>
          <w:tcPr>
            <w:tcW w:w="2635" w:type="dxa"/>
            <w:tcBorders/>
            <w:shd w:fill="CCEEFF" w:val="clear"/>
            <w:tcMar>
              <w:bottom w:w="0" w:type="dxa"/>
            </w:tcMar>
            <w:vAlign w:val="center"/>
          </w:tcPr>
          <w:p>
            <w:pPr>
              <w:pStyle w:val="TableContents"/>
              <w:bidi w:val="0"/>
              <w:spacing w:before="0" w:after="283"/>
              <w:jc w:val="left"/>
              <w:rPr/>
            </w:pPr>
            <w:r>
              <w:rPr/>
              <w:t>Connective Capital Emerging Energy QP,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85,756 </w:t>
            </w:r>
          </w:p>
        </w:tc>
        <w:tc>
          <w:tcPr>
            <w:tcW w:w="3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85,756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82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1"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tcMar>
              <w:bottom w:w="0" w:type="dxa"/>
            </w:tcMar>
            <w:vAlign w:val="center"/>
          </w:tcPr>
          <w:p>
            <w:pPr>
              <w:pStyle w:val="TableContents"/>
              <w:bidi w:val="0"/>
              <w:spacing w:before="0" w:after="283"/>
              <w:jc w:val="left"/>
              <w:rPr/>
            </w:pPr>
            <w:r>
              <w:rPr/>
              <w:t>%</w:t>
            </w:r>
          </w:p>
        </w:tc>
      </w:tr>
      <w:tr>
        <w:trPr/>
        <w:tc>
          <w:tcPr>
            <w:tcW w:w="2635" w:type="dxa"/>
            <w:tcBorders/>
            <w:shd w:fill="FFFFFF" w:val="clear"/>
            <w:tcMar>
              <w:bottom w:w="0" w:type="dxa"/>
            </w:tcMar>
            <w:vAlign w:val="center"/>
          </w:tcPr>
          <w:p>
            <w:pPr>
              <w:pStyle w:val="TableContents"/>
              <w:bidi w:val="0"/>
              <w:spacing w:before="0" w:after="283"/>
              <w:jc w:val="left"/>
              <w:rPr/>
            </w:pPr>
            <w:r>
              <w:rPr/>
              <w:t>Boothbay Absolute Return Strategies,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45,000 </w:t>
            </w:r>
          </w:p>
        </w:tc>
        <w:tc>
          <w:tcPr>
            <w:tcW w:w="31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82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tcMar>
              <w:bottom w:w="0" w:type="dxa"/>
            </w:tcMar>
            <w:vAlign w:val="center"/>
          </w:tcPr>
          <w:p>
            <w:pPr>
              <w:pStyle w:val="TableContents"/>
              <w:bidi w:val="0"/>
              <w:spacing w:before="0" w:after="283"/>
              <w:jc w:val="left"/>
              <w:rPr/>
            </w:pPr>
            <w:r>
              <w:rPr/>
              <w:t>%</w:t>
            </w:r>
          </w:p>
        </w:tc>
      </w:tr>
      <w:tr>
        <w:trPr/>
        <w:tc>
          <w:tcPr>
            <w:tcW w:w="2635" w:type="dxa"/>
            <w:tcBorders/>
            <w:shd w:fill="CCEEFF" w:val="clear"/>
            <w:tcMar>
              <w:bottom w:w="0" w:type="dxa"/>
            </w:tcMar>
            <w:vAlign w:val="center"/>
          </w:tcPr>
          <w:p>
            <w:pPr>
              <w:pStyle w:val="TableContents"/>
              <w:bidi w:val="0"/>
              <w:spacing w:before="0" w:after="283"/>
              <w:jc w:val="left"/>
              <w:rPr/>
            </w:pPr>
            <w:r>
              <w:rPr/>
              <w:t>Connective Capital I QP,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1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19,244</w:t>
            </w:r>
          </w:p>
        </w:tc>
        <w:tc>
          <w:tcPr>
            <w:tcW w:w="31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(14)</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62"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19,244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1" w:type="dxa"/>
            <w:tcBorders/>
            <w:shd w:fill="CCEEFF" w:val="clear"/>
            <w:tcMar>
              <w:bottom w:w="0" w:type="dxa"/>
            </w:tcMar>
            <w:vAlign w:val="center"/>
          </w:tcPr>
          <w:p>
            <w:pPr>
              <w:pStyle w:val="TableContents"/>
              <w:bidi w:val="0"/>
              <w:spacing w:before="0" w:after="283"/>
              <w:jc w:val="left"/>
              <w:rPr/>
            </w:pPr>
            <w:r>
              <w:rPr/>
              <w:t> </w:t>
            </w:r>
          </w:p>
        </w:tc>
        <w:tc>
          <w:tcPr>
            <w:tcW w:w="82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1"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tcMar>
              <w:bottom w:w="0" w:type="dxa"/>
            </w:tcMar>
            <w:vAlign w:val="center"/>
          </w:tcPr>
          <w:p>
            <w:pPr>
              <w:pStyle w:val="TableContents"/>
              <w:bidi w:val="0"/>
              <w:spacing w:before="0" w:after="283"/>
              <w:jc w:val="left"/>
              <w:rPr/>
            </w:pPr>
            <w:r>
              <w:rPr/>
              <w:t>%</w:t>
            </w:r>
          </w:p>
        </w:tc>
      </w:tr>
      <w:tr>
        <w:trPr/>
        <w:tc>
          <w:tcPr>
            <w:tcW w:w="2635" w:type="dxa"/>
            <w:tcBorders/>
            <w:shd w:fill="FFFFFF" w:val="clear"/>
            <w:tcMar>
              <w:bottom w:w="0" w:type="dxa"/>
            </w:tcMar>
            <w:vAlign w:val="center"/>
          </w:tcPr>
          <w:p>
            <w:pPr>
              <w:pStyle w:val="TableContents"/>
              <w:bidi w:val="0"/>
              <w:spacing w:before="0" w:after="283"/>
              <w:jc w:val="left"/>
              <w:rPr/>
            </w:pPr>
            <w:r>
              <w:rPr/>
              <w:t>Kingsbrook Opportunities Master Fund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1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11,250 </w:t>
            </w:r>
          </w:p>
        </w:tc>
        <w:tc>
          <w:tcPr>
            <w:tcW w:w="31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pPr>
            <w:r>
              <w:rPr/>
              <w:t>11,250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82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 w:type="dxa"/>
            <w:tcBorders/>
            <w:shd w:fill="FFFFFF" w:val="clear"/>
            <w:tcMar>
              <w:bottom w:w="0" w:type="dxa"/>
            </w:tcMar>
            <w:vAlign w:val="center"/>
          </w:tcPr>
          <w:p>
            <w:pPr>
              <w:pStyle w:val="TableContents"/>
              <w:bidi w:val="0"/>
              <w:spacing w:before="0" w:after="283"/>
              <w:jc w:val="left"/>
              <w:rPr/>
            </w:pPr>
            <w:r>
              <w:rPr/>
              <w:t> </w:t>
            </w:r>
          </w:p>
        </w:tc>
        <w:tc>
          <w:tcPr>
            <w:tcW w:w="10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and is presented as of March 31, 2026, based on 24,570,241 shares of Common Stock outstanding. The number of shares beneficially owned prior to the offering includes shares underlying the Warrants that are exercisable within 60 days of the measurement date and gives effect to any beneficial ownership limitations contained in such Warrants.</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are calculated for each selling stockholder by dividing the number of shares beneficially owned by such selling stockholder by the sum of (i) 24,570,241 and (ii) the number of shares underlying securities deemed beneficially owned by such selling stockholder pursuant to Rule 13d-3.</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88"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Represents the full number of shares of Common Stock registered, including all of the shares of Common Stock issuable upon exercise of the Warrants, and gives no effect to any beneficial ownership limitation contained in the Warrants.</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Contains Warrants to purchase up to 2,250,000 shares of Common Stock.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Polar Asset Management Partners Inc. is 16 York Street, Suite 2900, Toronto, Ontario M5J 0E6, Canada. </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Contains Warrants to purchase up to 562,500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Heights Capital Management, Inc. is 101 California Street, Suite 3250, San Francisco, California 94111. </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562,500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Hudson Bay Master Fund Ltd. is 290 Harbor Drive, 3rd Floor, Stamford, CT 06902.</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495,000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Intracoastal Capital LLC. is 245 Palm Trail, Delray Beach, Florida 33483.</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262,500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Robert Forster is 54 Deepdale Dr., Great Neck, NY 11021.</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195,000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KBB Asset Management LLC is 253 West 73rd Street, Unit 4C, New York, NY 10023.</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150,000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Mank Capital, LLC is 347 West 87th Street, Apt. 2R, New York, NY 10024.</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112,500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Aramas Capital Management LLC is 19 Orchard Street, Manhasset, NY 11030 .</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85,756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Connective Capital Emerging Energy QP, LP is 385 Homer Avenue, Palo Alto, CA 94301.</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45,000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Boothbay Absolute Return Strategies, LP is 140 East 45th Street, 16th Floor, New York, NY 10017.</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19,244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Connective Capital I QP, LP is 385 Homer Avenue, Palo Alto, CA 94301.</w:t>
            </w:r>
          </w:p>
        </w:tc>
      </w:tr>
      <w:tr>
        <w:trPr/>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Contains Warrants to purchase up to 11,250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Kingsbrook Opportunities Master Fund LP is 689 Fifth Avenue, 12th Floor, New York, NY 10022].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VK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to be offered and sold using this prospectus will be offered and sold by the Selling Stockholders named in this prospectus. Accordingly, we will not receive any proceeds from any sale of shares of Common Stock in this offering. However, 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if any, will be used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VK_007"/>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securities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the registration statement of which this prospectus is a part effective until at all times until the Holders no longer own any Warrants or the shares issuable upon exercise thereof.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Nasdaq under the symbol “SEV.”</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VK_008"/>
      <w:bookmarkEnd w:id="9"/>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descriptions summarize important terms of our capital stock. This summary reflects Aptera’s Amended and Restated Certificate of Incorporation (the “Amended Charter”) and does not purport to be complete and is qualified in its entirety by the Amended Charter and the Amended and Restated Bylaws (the “Bylaws”), which have been filed as Exhibits to the registration statement of which this prospectus forms a part. For a complete description of Aptera’s capital stock, you should refer to our Amended Charter and our Bylaws and applicable provisions of the Delaware General Corporation Law. The descriptions of our capital stock reflect changes that will be in effect prior to the effectiveness of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20, 2026, the authorized capital stock of the Company consists of 305,000,000 shares of common stock, par value $0.0001 per share, 190,000,000 of which shares are designated as “Class A common stock” and 115,000,000 of which shares are designated as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20, 2026, the Company has the following outstanding securities:</w:t>
      </w:r>
    </w:p>
    <w:p>
      <w:pPr>
        <w:pStyle w:val="TextBody"/>
        <w:bidi w:val="0"/>
        <w:spacing w:before="0" w:after="0"/>
        <w:ind w:left="0" w:right="0" w:firstLine="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12,026,870 shares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24,570,241 shares of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has voting rights and our Class B common stock does not have voting rights under our Amended Charter. See “Common Stock - Voting Rights” and “Preferred Stock - Voting Rights” below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has the same rights and powers of, ranks equally to, shares ratably with and is identical in all respects, and as to all matters to Class A common stock; except that our Class B common stock is non-voting and is not entitled to any votes on any matter that is submitted to a vote of our stockholders, except as required by Delaware law.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non-voting and is not entitled to any votes on any matter that is submitted to a vote of our stockholders, except as required by Delaware law, for instance, if we were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par value of the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our Amended Charter to alter the powers, preferences, or special rights of the common stock as a whole in a way that would adversely affect the holders of our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changes in par value, it would require the majority approval of all holders of our common stock to approve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and following the “Final Conversion Date” -defined as the date that no shares of Class A common stock remain outstanding-holders of Class B common stock will be entitled to one vote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Class A common stock shall be entitled to elect, remove and replace all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class of capital stock having prior rights to dividends, 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class of capital stock having prior rights to dividends, 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is convertible at any time at the option of the holder into one share of Class B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Right of First Refusal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Other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Aptera’s Class A and Class B common stock have no preemptive, subscription or other rights, and there are no redemption or sinking fund provisions applicable to Aptera’s Class A or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Charter, our board of directors will have the authority, without further action by our stockholders, to designate and issue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diluting the voting power of the holders of common stock; reducing the likelihood that holders of common stock will receive dividend payments;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likelihood that holders of common stock will receive payments in the event of our liquidation, dissolution, or winding up;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deterring, or preventing a change-in-control or other corporate takeover.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 Classes of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non-voting and is not entitled to any votes on any matter that is submitted to a vote of our stockholders, except as required by Delaware law. Delaware law would permit holders of Class B common stock to vote, with one vote per share, on a matter if we were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par value of the common stock;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our Amended Charter to alter the powers, preferences, or special rights of the common stock as a whole in a way that would adversely affect the holders of our Class B common stock.</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and following the “Final Conversion Date” -defined as the date that no shares of Class A common stock remain outstanding-holders of Class B common stock will be entitled to one vote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Class A common stock shall be entitled to elect, remove and replace all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Liquidation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Conversion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is convertible at any time at the option of the holder into one share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Aptera’s Class A and Class B common stock have no preemptive, subscription or other rights, and there are no redemption or sinking fund provisions applicable to Aptera’s Class A or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Public Benefit Corporation Status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benefit corporation under subchapter XV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Amended Charter. We are also required to assess our benefit performance internally and to disclose to stockholders at least biennially a report that details our promotion of the public benefits identified in our Amended Charter and of the best interests of those materially affected by our conduct. We expect that our board of directors will measure our benefit performance against the objectives and standards proposed by the Company and approved by the board of directors. When determining the objectives and standards by which our board of directors will measure our public benefit performance, our board of directors will consider, among other factors, whether the objectives and standards are (i) comprehensive in that they assess the positive impact of our business on the communities in which we operate, and society and the environment, taken as a whole, (ii) credible in that they are comparable to the objectives and standards created by independent third parties that evaluate the corporate ethics, sustainability and governance practices of other public benefit corporations, and (iii) transparent in that the criteria considered for measuring such objectives and standards be made publicly available, including disclosing the process by which revisions to the objectives and standards are made and whether such objectives and standards present real or potential conflicts of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our stockholders may bring a derivative suit to enforce this requirement only if they own (individually or collectively), at least 2% of our outstanding shares or, upon our listing, the lesser of such percentage or shares of at least $2 million in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Exclusive Forum Provision of our Certificate of Incorporation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contains exclusive forum provisions that designate specific courts as the exclusive forums for certain legal actions. These provisions are intended to reduce the risk of costly and duplicative litigation, but may limit a stockholder’s ability to bring claims in a judicial forum of their choosing.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our Amended Charter provides that, to the fullest extent permitted by law, the Court of Chancery of the State of Delaware will be the exclusive forum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fiduciary duty;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arising pursuant to the Delaware General Corporation Law (DGCL), our Amended Charter, or our Bylaws;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governed by the internal affairs doctrine.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Charter contains a federal forum provision that provides that the U.S. federal district courts shall be the exclusive forum for the resolution of any complaint asserting a cause of action arising under the Securities Act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exclusive forum provisions do not apply to claims under the Exchange Act which is subject to exclusive federal jurisdiction under Section 27 of the Exchange Act.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our securities will be deemed to have notice of, and consented to, these exclusive forum provisions, including the federal forum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limit our stockholders’ ability to bring a claim in a forum they find favorable and may discourage lawsuits against us or our directors, officers, or employees. If a court were to find any of these provisions to be inapplicable or unenforceable in a particular case, we could incur additional costs associated with resolving the dispute in alternative jurisdictions,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Nasdaq under the symbol “SEV.”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VK_009"/>
      <w:bookmarkEnd w:id="10"/>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for us by Lowenstein Sandler LLP, New York,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VK_010"/>
      <w:bookmarkEnd w:id="11"/>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Aptera Motors Corp. as of December 31, 2025 and 2024, and for the years then ended, appearing in Aptera Motor Corp.’s Annual Report on Form 10-K for the year ended December 31, 2025, have been audited by dbbMcKennon, independent registered public accounting firm, as set forth in their report thereon and incorporated herein by reference. Such financial statements are incorporated herein by reference in reliance upon such report of dbbMcKennon pertaining to such financial statements given on the authority of such firm as experts in auditing and accounting.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VK_011"/>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Securities and Exchange Commission (“SEC”) a registration statement on Form S-1 under the Securities Act, as amended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maintain a website at the following address: </w:t>
      </w:r>
      <w:r>
        <w:rPr>
          <w:rFonts w:ascii="Times New Roman;Times;Serif" w:hAnsi="Times New Roman;Times;Serif"/>
          <w:b w:val="false"/>
          <w:i/>
          <w:caps w:val="false"/>
          <w:smallCaps w:val="false"/>
          <w:sz w:val="20"/>
        </w:rPr>
        <w:t>https://aptera.us</w:t>
      </w:r>
      <w:r>
        <w:rPr>
          <w:rFonts w:ascii="Times New Roman;Times;Serif" w:hAnsi="Times New Roman;Times;Serif"/>
          <w:b w:val="false"/>
          <w:i w:val="false"/>
          <w:caps w:val="false"/>
          <w:smallCaps w:val="false"/>
          <w:sz w:val="20"/>
        </w:rPr>
        <w:t>. The information on our website is not incorporated by reference in this prospectus.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VK_012"/>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on March 30,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t>
            </w:r>
            <w:hyperlink r:id="rId4">
              <w:r>
                <w:rPr>
                  <w:rStyle w:val="InternetLink"/>
                  <w:rFonts w:ascii="Times New Roman;Times;Serif" w:hAnsi="Times New Roman;Times;Serif"/>
                  <w:b w:val="false"/>
                  <w:i w:val="false"/>
                  <w:caps w:val="false"/>
                  <w:smallCaps w:val="false"/>
                  <w:sz w:val="20"/>
                </w:rPr>
                <w:t>January 26,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March 12,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April 14, 2026</w:t>
              </w:r>
            </w:hyperlink>
            <w:r>
              <w:rPr>
                <w:rFonts w:ascii="Times New Roman;Times;Serif" w:hAnsi="Times New Roman;Times;Serif"/>
                <w:b w:val="false"/>
                <w:i w:val="false"/>
                <w:caps w:val="false"/>
                <w:smallCaps w:val="false"/>
                <w:sz w:val="20"/>
              </w:rPr>
              <w:t xml:space="preserve"> (other than any portions deemed furnished and not filed);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our Registration Statement on </w:t>
            </w:r>
            <w:hyperlink r:id="rId7">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30, 2025, including any amendments thereto or reports filed for the purposes of updating this description, including </w:t>
            </w:r>
            <w:hyperlink r:id="rId8">
              <w:r>
                <w:rPr>
                  <w:rStyle w:val="InternetLink"/>
                  <w:rFonts w:ascii="Times New Roman;Times;Serif" w:hAnsi="Times New Roman;Times;Serif"/>
                  <w:b w:val="false"/>
                  <w:i w:val="false"/>
                  <w:caps w:val="false"/>
                  <w:smallCaps w:val="false"/>
                  <w:sz w:val="20"/>
                </w:rPr>
                <w:t>Exhibit 4.12</w:t>
              </w:r>
            </w:hyperlink>
            <w:r>
              <w:rPr>
                <w:rFonts w:ascii="Times New Roman;Times;Serif" w:hAnsi="Times New Roman;Times;Serif"/>
                <w:b w:val="false"/>
                <w:i w:val="false"/>
                <w:caps w:val="false"/>
                <w:smallCaps w:val="false"/>
                <w:sz w:val="20"/>
              </w:rPr>
              <w:t xml:space="preserve"> to our Annual Report on Form 10-K for the year ended December 31, 2025, filed with the SEC on March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1438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428750" cy="14382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4,751,250 Shares of 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 Upon Exercise of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w:t>
      </w:r>
    </w:p>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4550"/>
        <w:gridCol w:w="60"/>
        <w:gridCol w:w="146"/>
        <w:gridCol w:w="714"/>
        <w:gridCol w:w="7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1,818</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25,000</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25,000</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Transfer Agent and Registrar fees and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714" w:type="dxa"/>
            <w:tcBorders/>
            <w:shd w:fill="FFFFFF" w:val="clear"/>
            <w:vAlign w:val="center"/>
          </w:tcPr>
          <w:p>
            <w:pPr>
              <w:pStyle w:val="TableContents"/>
              <w:bidi w:val="0"/>
              <w:spacing w:before="0" w:after="283"/>
              <w:jc w:val="right"/>
              <w:rPr/>
            </w:pPr>
            <w:r>
              <w:rPr/>
              <w:t>61,818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Indemnification of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Amended Charter that will be in effect following the effectiveness of this registration statement contains provisions that eliminate the personal liability of its directors for monetary damages for any breach of fiduciary duties as a director, except liability for the following:</w:t>
      </w:r>
    </w:p>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director’s duty of loyalty to the registrant or its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or omissions not in good faith or that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(regarding unlawful dividends and stock purchases);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from which the director derived an improper personal benefit.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Bylaws provide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required to indemnify its directors and executive officers to the fullest extent permitted by the DGCL, subject to very limited exceptions;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may indemnify its other employees and agents as set forth in the DGCL;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required to advance expenses, as incurred, to its directors and executive officers in connection with a legal proceeding to the fullest extent permitted by the DGCL, subject to very limited exceptions;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Bylaws are not exclusive.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provisions in the registrant’s Amended Charter and Bylaws may be sufficiently broad to permit indemnification of the registrant’s directors and executive officers for liabilities arising under the Securities Act.</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enter into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Recent Sales of Unregistered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the following securities of the registrant sold by the registrant within the past three years which were not registered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Employee Stock Options (Rule 701):</w:t>
      </w:r>
      <w:r>
        <w:rPr>
          <w:rFonts w:ascii="Times New Roman;Times;Serif" w:hAnsi="Times New Roman;Times;Serif"/>
          <w:b w:val="false"/>
          <w:i w:val="false"/>
          <w:caps w:val="false"/>
          <w:smallCaps w:val="false"/>
          <w:sz w:val="20"/>
        </w:rPr>
        <w:t xml:space="preserve"> Beginning in March 17, 2022, the Company issued 1,980,830 shares of Class B Common Stock to directors, officers, employees, consultants, and service providers upon the exercise of options under the 2021 Stock Option and Incentive Plan, at per share purchase prices ranging from $27.60 to $31.50, in reliance on Rule 701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Placements (Section 4(a)(2)):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issued 69,343 shares of Class B Common Stock to 9 separate service providers (5 of which are individuals (one of which was an employee of the Company), and 4 of which are entities) as consideration for approximately $2.2 million in services rendered to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issued SAFE Agreements in the amount of $80 thousand to a service provider as consideration for services rendered, which was subsequently converted into Series B-1 Preferred Stock on August 25, 2022.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$675,000 worth of convertible notes to non-affiliated accredited investors, bearing 12% annual interest and maturing in 24 months, convertible into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31, 2024, the Company issued to Amato and Partners, LLC, a vendor of the Company, a warrant to purchase 333,333 shares with an exercise price of $31.50. This warrant vests monthly through May 15, 2025, and expires on November 15, 2034. The Company has issued to the same vendor a warrant for 533,333 shares with an exercise price equal to the fair market value as described therein, and this warrant only vests and becomes exercisable at certain change of control events and expires on November 15, 2034. The Company has also issued warrants to US Capital Global Securities, LLC pursuant to four separate warrant agreements for an aggregate of 1,500 shares with an exercise price of $0.0001 and all of which expire in the third and fourth quarter of 2029.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the Company issued 347 shares of Class B common stock to external consultants as compensation for services rendered. The aggregate grant-date fair value of these shares was approximately $15 thousand, based on a weighted-average issuance price of $44.40. The fair value was determined based on the contemporaneous cash sale prices of Class B common stock to third-party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2026, in connection with its registered public offering, the Company entered into a placement agency agreement, dated January 22, 2026, with A.G.P./Alliance Global Partners (the “Placement Agent”) pursuant to which the Company issued to the Placement Agent warrants to purchase up to an aggregate of 135,000 shares of Class B common Stock at an exercise price equal to $2.10 per share. The Placement Agent warrants became exercisable immediately and have a term of five years.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March 2026, the Company issued to certain holders of existing warrants new warrants (the “Inducement Warrants”) to purchase up to 4,751,250 shares of Class B common stock. The Inducement Warrants have an exercise price of $3.50 per share, became exercisable immediately and will expire on the five-year anniversary of their issuance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each of the private placements set forth above was used for working capital and general corporate purposes. No intermediary was involved in any of the offerings set forth above.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 Offerings: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sold 1,076,716 shares of Class B Common Stock for approximately $33.9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322,037 shares of Class B Common Stock for approximately $10.2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June 30, 2025 to July 26, 2025 (the termination date of this offering), the Company sold 48,400 </w:t>
            </w:r>
            <w:r>
              <w:rPr>
                <w:rFonts w:ascii="Times New Roman;Times;Serif" w:hAnsi="Times New Roman;Times;Serif"/>
                <w:b w:val="false"/>
                <w:i/>
                <w:caps w:val="false"/>
                <w:smallCaps w:val="false"/>
                <w:sz w:val="20"/>
              </w:rPr>
              <w:t xml:space="preserve">shares of Class B </w:t>
            </w:r>
            <w:r>
              <w:rPr>
                <w:rFonts w:ascii="Times New Roman;Times;Serif" w:hAnsi="Times New Roman;Times;Serif"/>
                <w:b w:val="false"/>
                <w:i w:val="false"/>
                <w:caps w:val="false"/>
                <w:smallCaps w:val="false"/>
                <w:sz w:val="20"/>
              </w:rPr>
              <w:t>Common Stock for approximately $2.1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Regulation A offerings set forth above, Dalmore LLC and/or OpenDeal Broker LLC acted as broker-dealers, receiving aggregate commissions of 1% of the total proceeds. The sales were to retail investors and the proceeds from each of the Regulation A offerings set forth above was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D 506(c) Offerings: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256,708 shares of Class B common stock for approximately $7.5 million to a large number of accredited investors with no material relationship to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30, 2025 to August 27</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2025, the Company sold 22,468 shares of Class B Common Stock for approximately $0.7 million to a large number of accredited investors with no material relationship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each of the Regulation D offerings set forth above was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Crowdfunding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30, 2024, to September 19, 2024, the Company sold 158,503 shares of Class B Common Stock for approximately $4,992,855. Jumpstart Micro, Inc. acted as the broker-dealer, receiving $249,643 in commissions.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for the Regulation Crowdfunding offering were to retail investors and the proceeds from the Regulation Crowdfunding offering set forth above was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28" w:type="dxa"/>
          <w:right w:w="0" w:type="dxa"/>
        </w:tblCellMar>
      </w:tblPr>
      <w:tblGrid>
        <w:gridCol w:w="1400"/>
        <w:gridCol w:w="60"/>
        <w:gridCol w:w="6080"/>
        <w:gridCol w:w="60"/>
        <w:gridCol w:w="500"/>
        <w:gridCol w:w="60"/>
        <w:gridCol w:w="650"/>
        <w:gridCol w:w="60"/>
        <w:gridCol w:w="980"/>
      </w:tblGrid>
      <w:tr>
        <w:trPr/>
        <w:tc>
          <w:tcPr>
            <w:tcW w:w="140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14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Amended and Restated Certificate of Incorporation of Aptera Motors Corp.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r>
      <w:tr>
        <w:trPr/>
        <w:tc>
          <w:tcPr>
            <w:tcW w:w="14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Amended and Restated Bylaws of Aptera Motors Corp.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r>
      <w:tr>
        <w:trPr/>
        <w:tc>
          <w:tcPr>
            <w:tcW w:w="14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Inducement Warrant (March 2026)</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3/12/2026</w:t>
            </w:r>
          </w:p>
        </w:tc>
      </w:tr>
      <w:tr>
        <w:trPr/>
        <w:tc>
          <w:tcPr>
            <w:tcW w:w="14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Opinion of Lowenstein Sandler LLP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Inducement Letter</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3/12/2026</w:t>
            </w:r>
          </w:p>
        </w:tc>
      </w:tr>
      <w:tr>
        <w:trPr/>
        <w:tc>
          <w:tcPr>
            <w:tcW w:w="14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Consent of Lowenstein Sandler LLP (included in Exhibit 5.1)</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"https://www.sec.gov/Archives/edgar/data/1786471/000149315226015814/forms-1.htm" \l "POA_001"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in the signature page hereto)</w:t>
            </w:r>
            <w:r>
              <w:rPr>
                <w:rStyle w:val="InternetLink"/>
                <w:smallCaps w:val="false"/>
                <w:caps w:val="false"/>
                <w:sz w:val="20"/>
                <w:i w:val="false"/>
                <w:b w:val="false"/>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Filing Fee Table</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40"/>
        <w:gridCol w:w="141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Previously filed.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(ii), and (iii) of this section do not apply if the registration statement is on Form S-1 (§ 239.11 of this chapter), Form S-3 (§ 239.13 of this chapter), Form SF-3 (§ 239.45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or, as to a registration statement on Form S-3, Form SF-3 or Form F-3, is contained in a form of prospectus filed pursuant to § 230.424(b) of this chapter that is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registrant is relying on Rule 430B (§ 230.430B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 230.424(b)(3) of this chapter) shall be deemed to be part of the registration statement as of the date the filed prospectus was deemed part of and included in the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prospectus required to be filed pursuant to Rule 424(b)(2), (b)(5), or (b)(7) (§ 230.424(b)(2), (b)(5), or (b)(7) of this chapter) as part of a registration statement in reliance on Rule 430B relating to an offering made pursuant to Rule 415(a)(1)(i), (vii), or (x) (§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 (§ 230.424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Carlsbad, California, on the day of April 16, 2026.</w:t>
      </w:r>
    </w:p>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45"/>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on behalf of the registrant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7815" w:type="dxa"/>
        <w:jc w:val="left"/>
        <w:tblInd w:w="0" w:type="dxa"/>
        <w:tblLayout w:type="fixed"/>
        <w:tblCellMar>
          <w:top w:w="0" w:type="dxa"/>
          <w:left w:w="0" w:type="dxa"/>
          <w:bottom w:w="28" w:type="dxa"/>
          <w:right w:w="0" w:type="dxa"/>
        </w:tblCellMar>
      </w:tblPr>
      <w:tblGrid>
        <w:gridCol w:w="1460"/>
        <w:gridCol w:w="60"/>
        <w:gridCol w:w="5015"/>
        <w:gridCol w:w="60"/>
        <w:gridCol w:w="1220"/>
      </w:tblGrid>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16, 2026</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Tom DaPolito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16, 2026</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16, 2026</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Fambro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16, 2026</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Tony Kirton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16, 2026</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Butz</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425"/>
        <w:gridCol w:w="1445"/>
        <w:gridCol w:w="135"/>
      </w:tblGrid>
      <w:tr>
        <w:trPr/>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Tom DaPolito</w:t>
            </w:r>
            <w:r>
              <w:rPr>
                <w:rFonts w:ascii="Times New Roman;Times;Serif" w:hAnsi="Times New Roman;Times;Serif"/>
                <w:b w:val="false"/>
                <w:i w:val="false"/>
                <w:caps w:val="false"/>
                <w:smallCaps w:val="false"/>
                <w:sz w:val="20"/>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Tom DaPolito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Attorney-in-fact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6471/000149315226013581/form10-k.htm" TargetMode="External"/><Relationship Id="rId4" Type="http://schemas.openxmlformats.org/officeDocument/2006/relationships/hyperlink" Target="https://www.sec.gov/Archives/edgar/data/1786471/000149315226003512/form8-k.htm" TargetMode="External"/><Relationship Id="rId5" Type="http://schemas.openxmlformats.org/officeDocument/2006/relationships/hyperlink" Target="https://www.sec.gov/Archives/edgar/data/1786471/000149315226009780/form8-k.htm" TargetMode="External"/><Relationship Id="rId6" Type="http://schemas.openxmlformats.org/officeDocument/2006/relationships/hyperlink" Target="https://www.sec.gov/Archives/edgar/data/1786471/000149315226016473/form8-k.htm" TargetMode="External"/><Relationship Id="rId7" Type="http://schemas.openxmlformats.org/officeDocument/2006/relationships/hyperlink" Target="https://www.sec.gov/Archives/edgar/data/1786471/000149315225016237/form8a12b.htm" TargetMode="External"/><Relationship Id="rId8" Type="http://schemas.openxmlformats.org/officeDocument/2006/relationships/hyperlink" Target="https://www.sec.gov/Archives/edgar/data/1786471/000149315226013581/ex4-12.htm" TargetMode="External"/><Relationship Id="rId9" Type="http://schemas.openxmlformats.org/officeDocument/2006/relationships/image" Target="media/image1.jpeg"/><Relationship Id="rId10" Type="http://schemas.openxmlformats.org/officeDocument/2006/relationships/hyperlink" Target="https://www.sec.gov/Archives/edgar/data/1786471/000149315225016548/ex3-1.htm" TargetMode="External"/><Relationship Id="rId11" Type="http://schemas.openxmlformats.org/officeDocument/2006/relationships/hyperlink" Target="https://www.sec.gov/Archives/edgar/data/1786471/000149315225016548/ex3-2.htm" TargetMode="External"/><Relationship Id="rId12" Type="http://schemas.openxmlformats.org/officeDocument/2006/relationships/hyperlink" Target="https://www.sec.gov/Archives/edgar/data/1786471/000149315226009780/ex4-1.htm" TargetMode="External"/><Relationship Id="rId13" Type="http://schemas.openxmlformats.org/officeDocument/2006/relationships/hyperlink" Target="https://www.sec.gov/Archives/edgar/data/1786471/000149315226015814/ex5-1.htm" TargetMode="External"/><Relationship Id="rId14" Type="http://schemas.openxmlformats.org/officeDocument/2006/relationships/hyperlink" Target="https://www.sec.gov/Archives/edgar/data/1786471/000149315226009780/ex10-1.htm" TargetMode="External"/><Relationship Id="rId15" Type="http://schemas.openxmlformats.org/officeDocument/2006/relationships/hyperlink" Target="https://www.sec.gov/Archives/edgar/data/1786471/000149315226015814/ex23-1.htm" TargetMode="External"/><Relationship Id="rId16" Type="http://schemas.openxmlformats.org/officeDocument/2006/relationships/hyperlink" Target="https://www.sec.gov/Archives/edgar/data/1786471/000149315226015814/ex5-1.htm" TargetMode="External"/><Relationship Id="rId17" Type="http://schemas.openxmlformats.org/officeDocument/2006/relationships/hyperlink" Target="https://www.sec.gov/Archives/edgar/data/1786471/000149315226015814/ex107.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14063</Words>
  <Characters>74077</Characters>
  <CharactersWithSpaces>88389</CharactersWithSpaces>
  <Paragraphs>1635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