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0_edei--EntityRegistrantName_c2026"/>
      <w:bookmarkEnd w:id="4"/>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814"/>
            <w:bookmarkEnd w:id="6"/>
            <w:r>
              <w:rPr>
                <w:rFonts w:ascii="Times New Roman;Times;Serif" w:hAnsi="Times New Roman;Times;Serif"/>
                <w:b/>
                <w:i w:val="false"/>
                <w:caps w:val="false"/>
                <w:smallCaps w:val="false"/>
                <w:sz w:val="20"/>
              </w:rPr>
              <w:t>001-42884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83-4079594</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5818 El Camino Real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Carlsbad, </w:t>
            </w:r>
            <w:bookmarkStart w:id="10" w:name="xdx_900_edei--EntityAddressStateOrProvin"/>
            <w:bookmarkEnd w:id="10"/>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E_edei--EntityAddressPostalZipCode"/>
            <w:bookmarkEnd w:id="11"/>
            <w:r>
              <w:rPr>
                <w:rFonts w:ascii="Times New Roman;Times;Serif" w:hAnsi="Times New Roman;Times;Serif"/>
                <w:b/>
                <w:i w:val="false"/>
                <w:caps w:val="false"/>
                <w:smallCaps w:val="false"/>
                <w:sz w:val="20"/>
              </w:rPr>
              <w:t>92008</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9_edei--CityAreaCode_c20260814__20"/>
      <w:bookmarkEnd w:id="12"/>
      <w:r>
        <w:rPr>
          <w:rFonts w:ascii="Times New Roman;Times;Serif" w:hAnsi="Times New Roman;Times;Serif"/>
          <w:b/>
          <w:i w:val="false"/>
          <w:caps w:val="false"/>
          <w:smallCaps w:val="false"/>
          <w:sz w:val="20"/>
        </w:rPr>
        <w:t xml:space="preserve">(858) </w:t>
      </w:r>
      <w:bookmarkStart w:id="13" w:name="xdx_900_edei--LocalPhoneNumber_c20260814"/>
      <w:bookmarkEnd w:id="13"/>
      <w:r>
        <w:rPr>
          <w:rFonts w:ascii="Times New Roman;Times;Serif" w:hAnsi="Times New Roman;Times;Serif"/>
          <w:b/>
          <w:i w:val="false"/>
          <w:caps w:val="false"/>
          <w:smallCaps w:val="false"/>
          <w:sz w:val="20"/>
        </w:rPr>
        <w:t>371-3151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5"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6_edei--SolicitingMaterial_c2026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4280"/>
        <w:gridCol w:w="60"/>
        <w:gridCol w:w="1610"/>
        <w:gridCol w:w="60"/>
        <w:gridCol w:w="3710"/>
      </w:tblGrid>
      <w:tr>
        <w:trPr/>
        <w:tc>
          <w:tcPr>
            <w:tcW w:w="42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814"/>
            <w:bookmarkEnd w:id="18"/>
            <w:r>
              <w:rPr>
                <w:rFonts w:ascii="Times New Roman;Times;Serif" w:hAnsi="Times New Roman;Times;Serif"/>
                <w:b w:val="false"/>
                <w:i w:val="false"/>
                <w:caps w:val="false"/>
                <w:smallCaps w:val="false"/>
                <w:sz w:val="20"/>
              </w:rPr>
              <w:t>Class B 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TradingSymbol_c20260814__2"/>
            <w:bookmarkEnd w:id="19"/>
            <w:r>
              <w:rPr>
                <w:rFonts w:ascii="Times New Roman;Times;Serif" w:hAnsi="Times New Roman;Times;Serif"/>
                <w:b w:val="false"/>
                <w:i w:val="false"/>
                <w:caps w:val="false"/>
                <w:smallCaps w:val="false"/>
                <w:sz w:val="20"/>
              </w:rPr>
              <w:t>SEV</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8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“Effective Date”), Aptera Motors Corp., a Delaware corporation (the “Company”), entered into a Strategic Partnership Agreement (the “Agreement”) with Shanghai Launch Automotive Technology Co., Ltd. (“Launch”) pursuant to which Launch will serve as a manufacturing and contract-engineering partner to the Company and will perform manufacturing, engineering, tooling, testing, and related work as described in work orders agreed upon by the parties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Launch’s services, the Company agreed to pay Launch up to RMB 300,000,000 as follows: (i) two-thirds (2/3) of each approved work order invoice first in cash, up to RMB 200,000,000 in the aggregate and (ii) one-third (1/3) of each approved work order invoice thereafter through the issuance of warrants (the “Warrants”) to purchase shares of the Company’s Class B Common Stock, par value $0.0001 per share (the “Common Stock”) up to RMB 100,000,000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the Company issued to Launch 3,369,629 Warrants worth RMB 50,000,000 (the “Initial Warrants”) in consideration for Launch entering into the Agreement. The Initial Warrants shall not be exercisable upon issuance and shall only become exercisable as and to the extent they are credited against invoices approved by the Company. Once the Initial Warrants are fully exercisable, the Company shall issue new Warrants for the one-third portion of each subsequent approved invoice, until Warrants worth up to RMB 100,000,000 in the aggregate (inclusive of the Initial Warrants) have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will have a term of five years and an exercise price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equal to: (i) for the Initial Warrants, $2.20, which is the Nasdaq Minimum Price (as defined under Nasdaq Rule 5635) determined as of the Effective Date, and (ii) for all subsequent Warrants, the greater of (x) the Nasdaq Minimum Price as of the applicable signing date and (y) $2.25 per share. Exercise of the Warrants is subject to (i) a beneficial ownership limitation of 4.99% of the shares of Common Stock outstanding immediately after giving effect to such exercise and (ii) an exchange cap equal to 19.99% of the number of shares of the Company’s Common Stock outstanding immediately before the signing of the Agreement, unless and until the Company has obtained any stockholder approval required by Nasdaq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Agreement and the Warrants do not purport to be complete and are qualified in their entirety by reference to the full text of the Agreement and form of Warrant, which are filed as Exhibits 10.1 and 4.1, respectively, to this Current Report on Form 8-K and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3.02. The Company issued the Warrants pursuant to the exemption from the registration requirements of the Securities Act available under Regulation S promulgated thereunder. The issuance of the Warrants and the shares of Common Stock issuable upon exercise of the Warrants have not been registered under the Securities Act, and such securities may not be offered or sold in the United States absent registration or an exemption from registration under the Securities Act and any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Current Report on Form 8-K nor any exhibit attached hereto is an offer to sell or the solicitation of an offer to buy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28" w:type="dxa"/>
          <w:right w:w="0" w:type="dxa"/>
        </w:tblCellMar>
      </w:tblPr>
      <w:tblGrid>
        <w:gridCol w:w="665"/>
        <w:gridCol w:w="60"/>
        <w:gridCol w:w="8090"/>
      </w:tblGrid>
      <w:tr>
        <w:trPr/>
        <w:tc>
          <w:tcPr>
            <w:tcW w:w="66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shd w:fill="CCEEFF" w:val="clear"/>
            <w:tcMar>
              <w:bottom w:w="0" w:type="dxa"/>
            </w:tcMar>
            <w:vAlign w:val="center"/>
          </w:tcPr>
          <w:p>
            <w:pPr>
              <w:pStyle w:val="TableContents"/>
              <w:bidi w:val="0"/>
              <w:spacing w:before="0" w:after="283"/>
              <w:jc w:val="left"/>
              <w:rPr/>
            </w:pPr>
            <w:hyperlink w:anchor="ex4-1.htm">
              <w:r>
                <w:rPr>
                  <w:rStyle w:val="InternetLink"/>
                  <w:rFonts w:ascii="Times New Roman;Times;Serif" w:hAnsi="Times New Roman;Times;Serif"/>
                  <w:b w:val="false"/>
                  <w:i w:val="false"/>
                  <w:caps w:val="false"/>
                  <w:smallCaps w:val="false"/>
                  <w:sz w:val="20"/>
                </w:rPr>
                <w:t>Form of Warrant</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shd w:fill="FFFFFF" w:val="clear"/>
            <w:tcMar>
              <w:bottom w:w="0" w:type="dxa"/>
            </w:tcMar>
            <w:vAlign w:val="center"/>
          </w:tcPr>
          <w:p>
            <w:pPr>
              <w:pStyle w:val="TableContents"/>
              <w:bidi w:val="0"/>
              <w:spacing w:before="0" w:after="283"/>
              <w:jc w:val="left"/>
              <w:rPr/>
            </w:pPr>
            <w:hyperlink w:anchor="ex10-1.htm">
              <w:r>
                <w:rPr>
                  <w:rStyle w:val="InternetLink"/>
                  <w:rFonts w:ascii="Times New Roman;Times;Serif" w:hAnsi="Times New Roman;Times;Serif"/>
                  <w:b w:val="false"/>
                  <w:i w:val="false"/>
                  <w:caps w:val="false"/>
                  <w:smallCaps w:val="false"/>
                  <w:sz w:val="20"/>
                </w:rPr>
                <w:t>Strategic Partnership Agreement, dated August 14, 2026, by and between the Company and Launch</w:t>
              </w:r>
            </w:hyperlink>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1865"/>
        <w:gridCol w:w="635"/>
        <w:gridCol w:w="252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1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Tom DaPolito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20, 2026</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3" w:name="ex4-1.htm"/>
      <w:bookmarkStart w:id="24" w:name="ksex4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4.1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WARRANT AND THE SHARES OF CLASS B COMMON STOCK ISSUABLE UPON THE EXERCISE OF THIS WARRANT HAVE NOT BEEN REGISTERED UNDER THE SECURITIES ACT OF 1933, AS AMENDED, OR ANY APPLICABLE STATE SECURITIES LAW. THIS WARRANT AND SUCH CLASS B COMMON STOCK ISSUABLE UPON THE EXERCISE OF THIS WARRANT ARE BEING ISSUED PURSUANT TO REGULATION S UNDER THE SECURITIES ACT AND ARE RESTRICTED SECURITIES. THEY MAY NOT BE SOLD, PLEDGED, HEDGED OR OTHERWISE TRANSFERRED EXCEPT IN COMPLIANCE WITH REGULATION S, THE SECURITIES ACT, APPLICABLE STATE SECURITIES LAWS, AND, IF REQUESTED BY THE COMPANY, AN OPINION OF COUNSEL SATISFACTORY TO THE COMPANY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本认股权证及行使本认股权证时可发行的</w:t>
      </w:r>
      <w:r>
        <w:rPr>
          <w:rFonts w:ascii="Times New Roman;Times;Serif" w:hAnsi="Times New Roman;Times;Serif"/>
          <w:b/>
          <w:i w:val="false"/>
          <w:caps w:val="false"/>
          <w:smallCaps w:val="false"/>
          <w:sz w:val="20"/>
        </w:rPr>
        <w:t>B</w:t>
      </w:r>
      <w:r>
        <w:rPr>
          <w:rFonts w:eastAsia="Times New Roman;Times;Serif"/>
          <w:b/>
          <w:i w:val="false"/>
          <w:caps w:val="false"/>
          <w:smallCaps w:val="false"/>
          <w:sz w:val="20"/>
        </w:rPr>
        <w:t>类普通股股份未根据经修订的《</w:t>
      </w:r>
      <w:r>
        <w:rPr>
          <w:rFonts w:ascii="Times New Roman;Times;Serif" w:hAnsi="Times New Roman;Times;Serif"/>
          <w:b/>
          <w:i w:val="false"/>
          <w:caps w:val="false"/>
          <w:smallCaps w:val="false"/>
          <w:sz w:val="20"/>
        </w:rPr>
        <w:t>1933</w:t>
      </w:r>
      <w:r>
        <w:rPr>
          <w:rFonts w:eastAsia="Times New Roman;Times;Serif"/>
          <w:b/>
          <w:i w:val="false"/>
          <w:caps w:val="false"/>
          <w:smallCaps w:val="false"/>
          <w:sz w:val="20"/>
        </w:rPr>
        <w:t>年证券法 》或任何适用的州证券法登记。本认股权证及行使本认股权证时可发行的该等</w:t>
      </w:r>
      <w:r>
        <w:rPr>
          <w:rFonts w:ascii="Times New Roman;Times;Serif" w:hAnsi="Times New Roman;Times;Serif"/>
          <w:b/>
          <w:i w:val="false"/>
          <w:caps w:val="false"/>
          <w:smallCaps w:val="false"/>
          <w:sz w:val="20"/>
        </w:rPr>
        <w:t>B</w:t>
      </w:r>
      <w:r>
        <w:rPr>
          <w:rFonts w:eastAsia="Times New Roman;Times;Serif"/>
          <w:b/>
          <w:i w:val="false"/>
          <w:caps w:val="false"/>
          <w:smallCaps w:val="false"/>
          <w:sz w:val="20"/>
        </w:rPr>
        <w:t>类普通股系根据《证券法》项下《</w:t>
      </w:r>
      <w:r>
        <w:rPr>
          <w:rFonts w:ascii="Times New Roman;Times;Serif" w:hAnsi="Times New Roman;Times;Serif"/>
          <w:b/>
          <w:i w:val="false"/>
          <w:caps w:val="false"/>
          <w:smallCaps w:val="false"/>
          <w:sz w:val="20"/>
        </w:rPr>
        <w:t>S</w:t>
      </w:r>
      <w:r>
        <w:rPr>
          <w:rFonts w:eastAsia="Times New Roman;Times;Serif"/>
          <w:b/>
          <w:i w:val="false"/>
          <w:caps w:val="false"/>
          <w:smallCaps w:val="false"/>
          <w:sz w:val="20"/>
        </w:rPr>
        <w:t>条例》发行，属于受限制证券。除非符合《</w:t>
      </w:r>
      <w:r>
        <w:rPr>
          <w:rFonts w:ascii="Times New Roman;Times;Serif" w:hAnsi="Times New Roman;Times;Serif"/>
          <w:b/>
          <w:i w:val="false"/>
          <w:caps w:val="false"/>
          <w:smallCaps w:val="false"/>
          <w:sz w:val="20"/>
        </w:rPr>
        <w:t>S</w:t>
      </w:r>
      <w:r>
        <w:rPr>
          <w:rFonts w:eastAsia="Times New Roman;Times;Serif"/>
          <w:b/>
          <w:i w:val="false"/>
          <w:caps w:val="false"/>
          <w:smallCaps w:val="false"/>
          <w:sz w:val="20"/>
        </w:rPr>
        <w:t>条例》、《证券法》、适用的州证券法，并且（如公司要求）取得令公司及其法律顾问满意的法律意见书，否则不得出售、质押、对冲或以其他方式转让。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TO PURCHASE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普通股认股权证</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rFonts w:eastAsia="Times New Roman;Times;Serif"/>
          <w:b/>
          <w:i w:val="false"/>
          <w:caps w:val="false"/>
          <w:smallCaps w:val="false"/>
          <w:sz w:val="20"/>
        </w:rPr>
        <w:t>阿普特拉汽车公司（</w:t>
      </w:r>
      <w:r>
        <w:rPr>
          <w:rFonts w:ascii="Times New Roman;Times;Serif" w:hAnsi="Times New Roman;Times;Serif"/>
          <w:b/>
          <w:i w:val="false"/>
          <w:caps w:val="false"/>
          <w:smallCaps w:val="false"/>
          <w:sz w:val="20"/>
        </w:rPr>
        <w:t>APTERA MOTORS CORP.</w:t>
      </w:r>
      <w:r>
        <w:rPr>
          <w:rFonts w:eastAsia="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4135" w:type="dxa"/>
        <w:jc w:val="center"/>
        <w:tblInd w:w="0" w:type="dxa"/>
        <w:tblLayout w:type="fixed"/>
        <w:tblCellMar>
          <w:top w:w="0" w:type="dxa"/>
          <w:left w:w="0" w:type="dxa"/>
          <w:bottom w:w="0" w:type="dxa"/>
          <w:right w:w="0" w:type="dxa"/>
        </w:tblCellMar>
      </w:tblPr>
      <w:tblGrid>
        <w:gridCol w:w="1640"/>
        <w:gridCol w:w="2495"/>
      </w:tblGrid>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w:t>
            </w:r>
          </w:p>
        </w:tc>
        <w:tc>
          <w:tcPr>
            <w:tcW w:w="2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 2026</w:t>
            </w:r>
          </w:p>
        </w:tc>
      </w:tr>
      <w:tr>
        <w:trPr/>
        <w:tc>
          <w:tcPr>
            <w:tcW w:w="164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40"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认股权证股份：</w:t>
            </w:r>
            <w:r>
              <w:rPr>
                <w:rFonts w:ascii="Times New Roman;Times;Serif" w:hAnsi="Times New Roman;Times;Serif"/>
                <w:b w:val="false"/>
                <w:i w:val="false"/>
                <w:caps w:val="false"/>
                <w:smallCaps w:val="false"/>
                <w:sz w:val="20"/>
              </w:rPr>
              <w:t xml:space="preserve">[•] </w:t>
            </w:r>
          </w:p>
        </w:tc>
        <w:tc>
          <w:tcPr>
            <w:tcW w:w="2495"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初始行权日：</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TO PURCHASE COMMON STOCK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Shanghai Launch Automotive Technology Co., Ltd. or its permitted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date set forth above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 2031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Aptera Motors Corp.,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 shares of Class B Common Stock, par value $0.0001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Notwithstanding the foregoing, this Warrant shall not be exercisable upon the issuance, and the Holder may exercise this Warrant to purchase Warrant Shares only as and to the extent such Warrant Shares have become Exercisable Warrant Shares in accordance with Section 2(a) of this Warrant and Section 3 of the Agreement. The purchase price of one Share under this Warrant shall be equal to the Exercise Price, as defined in Section 2(b). This Warrant is issued pursuant to the Agreement (as defined in Section 1) and is subject in all respects to the terms and conditions of the Agreement.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兹证明本普通股认股权证（”认股权证”）：因已收到对价，</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或其获准受让人（”持有人”）有权按本认股权证所载条款并在遵守下文所载行权限制和条件的前提下，于上文所载日期（”初始行权日”）或之后且不迟于</w:t>
      </w:r>
      <w:r>
        <w:rPr>
          <w:rFonts w:ascii="Times New Roman;Times;Serif" w:hAnsi="Times New Roman;Times;Serif"/>
          <w:b w:val="false"/>
          <w:i w:val="false"/>
          <w:caps w:val="false"/>
          <w:smallCaps w:val="false"/>
          <w:sz w:val="20"/>
        </w:rPr>
        <w:t>2031</w:t>
      </w:r>
      <w:r>
        <w:rPr>
          <w:rFonts w:eastAsia="Times New Roman;Times;Serif"/>
          <w:b w:val="false"/>
          <w:i w:val="false"/>
          <w:caps w:val="false"/>
          <w:smallCaps w:val="false"/>
          <w:sz w:val="20"/>
        </w:rPr>
        <w:t>年</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（纽约市时间）下午</w:t>
      </w:r>
      <w:r>
        <w:rPr>
          <w:rFonts w:ascii="Times New Roman;Times;Serif" w:hAnsi="Times New Roman;Times;Serif"/>
          <w:b w:val="false"/>
          <w:i w:val="false"/>
          <w:caps w:val="false"/>
          <w:smallCaps w:val="false"/>
          <w:sz w:val="20"/>
        </w:rPr>
        <w:t>5:00</w:t>
      </w:r>
      <w:r>
        <w:rPr>
          <w:rFonts w:eastAsia="Times New Roman;Times;Serif"/>
          <w:b w:val="false"/>
          <w:i w:val="false"/>
          <w:caps w:val="false"/>
          <w:smallCaps w:val="false"/>
          <w:sz w:val="20"/>
        </w:rPr>
        <w:t>（”终止日”）的任何时间（此后不得行使），向特拉华州公司阿普特拉汽车公司（</w:t>
      </w:r>
      <w:r>
        <w:rPr>
          <w:rFonts w:ascii="Times New Roman;Times;Serif" w:hAnsi="Times New Roman;Times;Serif"/>
          <w:b w:val="false"/>
          <w:i w:val="false"/>
          <w:caps w:val="false"/>
          <w:smallCaps w:val="false"/>
          <w:sz w:val="20"/>
        </w:rPr>
        <w:t>Aptera Motors Corp.</w:t>
      </w:r>
      <w:r>
        <w:rPr>
          <w:rFonts w:eastAsia="Times New Roman;Times;Serif"/>
          <w:b w:val="false"/>
          <w:i w:val="false"/>
          <w:caps w:val="false"/>
          <w:smallCaps w:val="false"/>
          <w:sz w:val="20"/>
        </w:rPr>
        <w:t>，”公司”）认购并购买最多</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股每股面值</w:t>
      </w:r>
      <w:r>
        <w:rPr>
          <w:rFonts w:ascii="Times New Roman;Times;Serif" w:hAnsi="Times New Roman;Times;Serif"/>
          <w:b w:val="false"/>
          <w:i w:val="false"/>
          <w:caps w:val="false"/>
          <w:smallCaps w:val="false"/>
          <w:sz w:val="20"/>
        </w:rPr>
        <w:t>0.0001</w:t>
      </w:r>
      <w:r>
        <w:rPr>
          <w:rFonts w:eastAsia="Times New Roman;Times;Serif"/>
          <w:b w:val="false"/>
          <w:i w:val="false"/>
          <w:caps w:val="false"/>
          <w:smallCaps w:val="false"/>
          <w:sz w:val="20"/>
        </w:rPr>
        <w:t>美元的</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类普通股（”股份”）（经本认股权证调整后，称”认股权证股份”）。尽管有前述规定，本认股权证在签发时不可行使，持有人仅可在认股权证股份已根据本认股权证第</w:t>
      </w:r>
      <w:r>
        <w:rPr>
          <w:rFonts w:ascii="Times New Roman;Times;Serif" w:hAnsi="Times New Roman;Times;Serif"/>
          <w:b w:val="false"/>
          <w:i w:val="false"/>
          <w:caps w:val="false"/>
          <w:smallCaps w:val="false"/>
          <w:sz w:val="20"/>
        </w:rPr>
        <w:t>2(a)</w:t>
      </w:r>
      <w:r>
        <w:rPr>
          <w:rFonts w:eastAsia="Times New Roman;Times;Serif"/>
          <w:b w:val="false"/>
          <w:i w:val="false"/>
          <w:caps w:val="false"/>
          <w:smallCaps w:val="false"/>
          <w:sz w:val="20"/>
        </w:rPr>
        <w:t>条及该协议第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条成为可行权认股权证股份的情况下并在该范围内行使本认股权证以购买认股权证股份。本认股权证项下每股股份的购买价格等于第</w:t>
      </w:r>
      <w:r>
        <w:rPr>
          <w:rFonts w:ascii="Times New Roman;Times;Serif" w:hAnsi="Times New Roman;Times;Serif"/>
          <w:b w:val="false"/>
          <w:i w:val="false"/>
          <w:caps w:val="false"/>
          <w:smallCaps w:val="false"/>
          <w:sz w:val="20"/>
        </w:rPr>
        <w:t>2(b)</w:t>
      </w:r>
      <w:r>
        <w:rPr>
          <w:rFonts w:eastAsia="Times New Roman;Times;Serif"/>
          <w:b w:val="false"/>
          <w:i w:val="false"/>
          <w:caps w:val="false"/>
          <w:smallCaps w:val="false"/>
          <w:sz w:val="20"/>
        </w:rPr>
        <w:t>条所定义的行权价格。本认股权证系根据该协议（定义见第</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条）发行，并在所有方面受该协议条款和条件的约束。</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 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Strategic Partnership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 2026, by and between the Company and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条 定义。本认股权证中使用但未另行定义的大写术语，应具有公司与持有人于</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年</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签署的特定战略合作伙伴协议（”该协议”）中所赋予的含义。</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委员会”指美国证券交易委员会。</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its subsidiaries which would entitled the holder thereof to acquire at any time Shares, without limitation, any debt, preferred stock, right, option, warrant or other instrument that is at any time convertible into or exercisable or exchangeable for, or otherwise entitles the holder thereof to receive,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普通股等价物”指公司或其子公司的任何证券，该等证券使其持有人有权在任何时间取得股份，包括但不限于任何在任何时间可转换为股份、可行使或可交换为股份、或以其他方式使其持有人有权收取股份的债务、优先股、权利、期权、认股权证或其他工具。</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《交易法》”指经修订的《</w:t>
      </w:r>
      <w:r>
        <w:rPr>
          <w:rFonts w:ascii="Times New Roman;Times;Serif" w:hAnsi="Times New Roman;Times;Serif"/>
          <w:b w:val="false"/>
          <w:i w:val="false"/>
          <w:caps w:val="false"/>
          <w:smallCaps w:val="false"/>
          <w:sz w:val="20"/>
        </w:rPr>
        <w:t>1934</w:t>
      </w:r>
      <w:r>
        <w:rPr>
          <w:rFonts w:eastAsia="Times New Roman;Times;Serif"/>
          <w:b w:val="false"/>
          <w:i w:val="false"/>
          <w:caps w:val="false"/>
          <w:smallCaps w:val="false"/>
          <w:sz w:val="20"/>
        </w:rPr>
        <w:t>年证券交易法》及其项下颁布的规则和条例。</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人士”指个人或公司、合伙企业、信托、注册或非注册社团、合资企业、有限责任公司</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、股份公司、政府（或其机构或分支机构）或任何其他类型的实体。</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Warrants and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证券”指认股权证及认股权证股份。</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Shares are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交易市场”指相关日期股份上市或挂牌交易的下列任一市场或交易所：纽约证券交易所美国板（</w:t>
      </w:r>
      <w:r>
        <w:rPr>
          <w:rFonts w:ascii="Times New Roman;Times;Serif" w:hAnsi="Times New Roman;Times;Serif"/>
          <w:b w:val="false"/>
          <w:i w:val="false"/>
          <w:caps w:val="false"/>
          <w:smallCaps w:val="false"/>
          <w:sz w:val="20"/>
        </w:rPr>
        <w:t>NYSE American</w:t>
      </w:r>
      <w:r>
        <w:rPr>
          <w:rFonts w:eastAsia="Times New Roman;Times;Serif"/>
          <w:b w:val="false"/>
          <w:i w:val="false"/>
          <w:caps w:val="false"/>
          <w:smallCaps w:val="false"/>
          <w:sz w:val="20"/>
        </w:rPr>
        <w:t>）、纳斯达克资本市场、纳斯达克全球市场、纳斯达克全球精选市场、纽约证券交易所、</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（或上述任何市场的继任者）。</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条 行权。</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Notwithstanding anything to the contrary herein, this Warrant shall not be exercisable upon issuance, and the Holder may exercise the purchase rights represented by this Warrant, in whole or in part, only with respect to the Warrant Shares that have become exercisable, from time to time, as and to the extent they are credited against invoices approved by the Company pursuant to Section 3(b) of the Agreement (such Warrant Shares, as credited from time to time, the “Exercisable Warrant Shares”). Upon each approval by the Company of an invoice subject to the Agreement, the Company shall deliver written notice thereof to the Holder setting forth the number of Warrant Shares becoming exercisable as a result of such approval and the aggregate number of Warrant Shares then constituting Exercisable Warrant Shares. </w:t>
      </w:r>
      <w:r>
        <w:rPr>
          <w:rFonts w:ascii="Times New Roman;Times;Serif" w:hAnsi="Times New Roman;Times;Serif"/>
          <w:b w:val="false"/>
          <w:i w:val="false"/>
          <w:caps w:val="false"/>
          <w:smallCaps w:val="false"/>
          <w:sz w:val="20"/>
          <w:u w:val="single"/>
        </w:rPr>
        <w:t xml:space="preserve">Notwithstanding anything to the contrary in Section 4 of this Warrant or elsewhere herein, any Warrant Shares that have not become Exercisable Warrant Shares as of the termination or expiration of the Agreement shall be automatically and permanently forfeited and cancelled for no consideration, except as otherwise expressly provided in the Agreement. Subject to the foregoing and to provisions of Section 2(e) and 2(f) of this Warrant and the Agreement, </w:t>
      </w:r>
      <w:r>
        <w:rPr>
          <w:rFonts w:ascii="Times New Roman;Times;Serif" w:hAnsi="Times New Roman;Times;Serif"/>
          <w:b w:val="false"/>
          <w:i w:val="false"/>
          <w:caps w:val="false"/>
          <w:smallCaps w:val="false"/>
          <w:sz w:val="20"/>
        </w:rPr>
        <w:t xml:space="preserve">exercise of the purchase rights represented by this Warrant with respect to the Exercisable Warrant Shares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number of Warrant Shares specified in the applicable Notice of Exercise by wire transfer or cashier’s check drawn on a United States bank, in either case in immediately available funds,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purchasable hereunder and the Warrant has been exercised in full, at which time,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purchasable hereunder shall have the effect of lowering the outstanding number of Warrant Shares purchasable hereunder by the number of Warrant Shares equal to the applicable number of Warrant Shares purchased in connection with such partial exercise.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will be less than the amount stated on the face hereof.</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8" w:type="dxa"/>
            <w:tcBorders/>
            <w:vAlign w:val="center"/>
          </w:tcPr>
          <w:p>
            <w:pPr>
              <w:pStyle w:val="TableContents"/>
              <w:bidi w:val="0"/>
              <w:spacing w:lineRule="auto" w:line="276" w:before="0" w:after="283"/>
              <w:jc w:val="both"/>
              <w:rPr>
                <w:caps w:val="false"/>
                <w:smallCaps w:val="false"/>
              </w:rPr>
            </w:pPr>
            <w:r>
              <w:rPr>
                <w:rFonts w:eastAsia="Times New Roman;Times;Serif"/>
                <w:b w:val="false"/>
                <w:i w:val="false"/>
                <w:caps w:val="false"/>
                <w:smallCaps w:val="false"/>
                <w:spacing w:val="-2"/>
                <w:sz w:val="20"/>
              </w:rPr>
              <w:t>认股权证的行使。尽管本认股权证有任何相反规定，本认股权证在签发时不可行使，持有人仅可就已不时成为可行权的认股权证股份——即根据该协议第</w:t>
            </w:r>
            <w:r>
              <w:rPr>
                <w:rFonts w:ascii="Times New Roman;Times;Serif" w:hAnsi="Times New Roman;Times;Serif"/>
                <w:b w:val="false"/>
                <w:i w:val="false"/>
                <w:caps w:val="false"/>
                <w:smallCaps w:val="false"/>
                <w:spacing w:val="-2"/>
                <w:sz w:val="20"/>
              </w:rPr>
              <w:t>3(b)</w:t>
            </w:r>
            <w:r>
              <w:rPr>
                <w:rFonts w:eastAsia="Times New Roman;Times;Serif"/>
                <w:b w:val="false"/>
                <w:i w:val="false"/>
                <w:caps w:val="false"/>
                <w:smallCaps w:val="false"/>
                <w:spacing w:val="-2"/>
                <w:sz w:val="20"/>
              </w:rPr>
              <w:t>条抵扣经公司批准的发票的认股权证股份（该等不时抵扣的认股权证股份，称”可行权认股权证股份”）——全部或部分行使本认股权证所代表的购买权。公司每次批准该协议项下的发票后，应向持有人送达书面通知，载明因该批准而成为可行权的认股权证股份数量以及届时构成可行权认股权证股份的认股权证股份总数。尽管本认股权证第</w:t>
            </w:r>
            <w:r>
              <w:rPr>
                <w:rFonts w:ascii="Times New Roman;Times;Serif" w:hAnsi="Times New Roman;Times;Serif"/>
                <w:b w:val="false"/>
                <w:i w:val="false"/>
                <w:caps w:val="false"/>
                <w:smallCaps w:val="false"/>
                <w:spacing w:val="-2"/>
                <w:sz w:val="20"/>
              </w:rPr>
              <w:t>4</w:t>
            </w:r>
            <w:r>
              <w:rPr>
                <w:rFonts w:eastAsia="Times New Roman;Times;Serif"/>
                <w:b w:val="false"/>
                <w:i w:val="false"/>
                <w:caps w:val="false"/>
                <w:smallCaps w:val="false"/>
                <w:spacing w:val="-2"/>
                <w:sz w:val="20"/>
              </w:rPr>
              <w:t>条或本认股权证其他条款有任何相反规定，截至该协议终止或到期时尚未成为可行权认股权证股份的任何认股权证股份，应自动且永久地被没收和注销，且不获得任何对价，但该协议另有明确规定的除外。在符合前述规定以及本认股权证第</w:t>
            </w:r>
            <w:r>
              <w:rPr>
                <w:rFonts w:ascii="Times New Roman;Times;Serif" w:hAnsi="Times New Roman;Times;Serif"/>
                <w:b w:val="false"/>
                <w:i w:val="false"/>
                <w:caps w:val="false"/>
                <w:smallCaps w:val="false"/>
                <w:spacing w:val="-2"/>
                <w:sz w:val="20"/>
              </w:rPr>
              <w:t>2(e)</w:t>
            </w:r>
            <w:r>
              <w:rPr>
                <w:rFonts w:eastAsia="Times New Roman;Times;Serif"/>
                <w:b w:val="false"/>
                <w:i w:val="false"/>
                <w:caps w:val="false"/>
                <w:smallCaps w:val="false"/>
                <w:spacing w:val="-2"/>
                <w:sz w:val="20"/>
              </w:rPr>
              <w:t>条和第</w:t>
            </w:r>
            <w:r>
              <w:rPr>
                <w:rFonts w:ascii="Times New Roman;Times;Serif" w:hAnsi="Times New Roman;Times;Serif"/>
                <w:b w:val="false"/>
                <w:i w:val="false"/>
                <w:caps w:val="false"/>
                <w:smallCaps w:val="false"/>
                <w:spacing w:val="-2"/>
                <w:sz w:val="20"/>
              </w:rPr>
              <w:t>2(f)</w:t>
            </w:r>
            <w:r>
              <w:rPr>
                <w:rFonts w:eastAsia="Times New Roman;Times;Serif"/>
                <w:b w:val="false"/>
                <w:i w:val="false"/>
                <w:caps w:val="false"/>
                <w:smallCaps w:val="false"/>
                <w:spacing w:val="-2"/>
                <w:sz w:val="20"/>
              </w:rPr>
              <w:t>条及该协议规定的前提下，就可行权认股权证股份行使本认股权证所代表的购买权，可于初始行权日或之后且终止日或之前的任何时间，通过向公司交付一份经正式签署的行权通知（格式见本认股权证附件</w:t>
            </w:r>
            <w:r>
              <w:rPr>
                <w:rFonts w:ascii="Times New Roman;Times;Serif" w:hAnsi="Times New Roman;Times;Serif"/>
                <w:b w:val="false"/>
                <w:i w:val="false"/>
                <w:caps w:val="false"/>
                <w:smallCaps w:val="false"/>
                <w:spacing w:val="-2"/>
                <w:sz w:val="20"/>
              </w:rPr>
              <w:t>A</w:t>
            </w:r>
            <w:r>
              <w:rPr>
                <w:rFonts w:eastAsia="Times New Roman;Times;Serif"/>
                <w:b w:val="false"/>
                <w:i w:val="false"/>
                <w:caps w:val="false"/>
                <w:smallCaps w:val="false"/>
                <w:spacing w:val="-2"/>
                <w:sz w:val="20"/>
              </w:rPr>
              <w:t>，”行权通知”）的传真件或以电子邮件（或电子邮件附件）提交的</w:t>
            </w:r>
            <w:r>
              <w:rPr>
                <w:rFonts w:ascii="Times New Roman;Times;Serif" w:hAnsi="Times New Roman;Times;Serif"/>
                <w:b w:val="false"/>
                <w:i w:val="false"/>
                <w:caps w:val="false"/>
                <w:smallCaps w:val="false"/>
                <w:spacing w:val="-2"/>
                <w:sz w:val="20"/>
              </w:rPr>
              <w:t>PDF</w:t>
            </w:r>
            <w:r>
              <w:rPr>
                <w:rFonts w:eastAsia="Times New Roman;Times;Serif"/>
                <w:b w:val="false"/>
                <w:i w:val="false"/>
                <w:caps w:val="false"/>
                <w:smallCaps w:val="false"/>
                <w:spacing w:val="-2"/>
                <w:sz w:val="20"/>
              </w:rPr>
              <w:t>文件的方式，全部或部分进行。在上述行权日期后</w:t>
            </w:r>
            <w:r>
              <w:rPr>
                <w:rFonts w:ascii="Times New Roman;Times;Serif" w:hAnsi="Times New Roman;Times;Serif"/>
                <w:b w:val="false"/>
                <w:i w:val="false"/>
                <w:caps w:val="false"/>
                <w:smallCaps w:val="false"/>
                <w:spacing w:val="-2"/>
                <w:sz w:val="20"/>
              </w:rPr>
              <w:t>(i)</w:t>
            </w:r>
            <w:r>
              <w:rPr>
                <w:rFonts w:eastAsia="Times New Roman;Times;Serif"/>
                <w:b w:val="false"/>
                <w:i w:val="false"/>
                <w:caps w:val="false"/>
                <w:smallCaps w:val="false"/>
                <w:spacing w:val="-2"/>
                <w:sz w:val="20"/>
              </w:rPr>
              <w:t>一</w:t>
            </w:r>
            <w:r>
              <w:rPr>
                <w:rFonts w:ascii="Times New Roman;Times;Serif" w:hAnsi="Times New Roman;Times;Serif"/>
                <w:b w:val="false"/>
                <w:i w:val="false"/>
                <w:caps w:val="false"/>
                <w:smallCaps w:val="false"/>
                <w:spacing w:val="-2"/>
                <w:sz w:val="20"/>
              </w:rPr>
              <w:t>(1)</w:t>
            </w:r>
            <w:r>
              <w:rPr>
                <w:rFonts w:eastAsia="Times New Roman;Times;Serif"/>
                <w:b w:val="false"/>
                <w:i w:val="false"/>
                <w:caps w:val="false"/>
                <w:smallCaps w:val="false"/>
                <w:spacing w:val="-2"/>
                <w:sz w:val="20"/>
              </w:rPr>
              <w:t>个交易日和</w:t>
            </w:r>
            <w:r>
              <w:rPr>
                <w:rFonts w:ascii="Times New Roman;Times;Serif" w:hAnsi="Times New Roman;Times;Serif"/>
                <w:b w:val="false"/>
                <w:i w:val="false"/>
                <w:caps w:val="false"/>
                <w:smallCaps w:val="false"/>
                <w:spacing w:val="-2"/>
                <w:sz w:val="20"/>
              </w:rPr>
              <w:t>(ii)</w:t>
            </w:r>
            <w:r>
              <w:rPr>
                <w:rFonts w:eastAsia="Times New Roman;Times;Serif"/>
                <w:b w:val="false"/>
                <w:i w:val="false"/>
                <w:caps w:val="false"/>
                <w:smallCaps w:val="false"/>
                <w:spacing w:val="-2"/>
                <w:sz w:val="20"/>
              </w:rPr>
              <w:t xml:space="preserve">构成标准结算期（定义见本认股权证第 </w:t>
            </w:r>
            <w:r>
              <w:rPr>
                <w:rFonts w:ascii="Times New Roman;Times;Serif" w:hAnsi="Times New Roman;Times;Serif"/>
                <w:b w:val="false"/>
                <w:i w:val="false"/>
                <w:caps w:val="false"/>
                <w:smallCaps w:val="false"/>
                <w:spacing w:val="-2"/>
                <w:sz w:val="20"/>
              </w:rPr>
              <w:t>2(d)(i)</w:t>
            </w:r>
            <w:r>
              <w:rPr>
                <w:rFonts w:eastAsia="Times New Roman;Times;Serif"/>
                <w:b w:val="false"/>
                <w:i w:val="false"/>
                <w:caps w:val="false"/>
                <w:smallCaps w:val="false"/>
                <w:spacing w:val="-2"/>
                <w:sz w:val="20"/>
              </w:rPr>
              <w:t>条）的交易日数（以较早者为准）内，持有人应以电汇或美国银行开具的银行本票（在任一情况下均为即时可用资金）支付适用行权通知中载明的认股权证股份数量的行权价格总额，除非适用行权通知中指明采用下文第</w:t>
            </w:r>
            <w:r>
              <w:rPr>
                <w:rFonts w:ascii="Times New Roman;Times;Serif" w:hAnsi="Times New Roman;Times;Serif"/>
                <w:b w:val="false"/>
                <w:i w:val="false"/>
                <w:caps w:val="false"/>
                <w:smallCaps w:val="false"/>
                <w:spacing w:val="-2"/>
                <w:sz w:val="20"/>
              </w:rPr>
              <w:t>2(c)</w:t>
            </w:r>
            <w:r>
              <w:rPr>
                <w:rFonts w:eastAsia="Times New Roman;Times;Serif"/>
                <w:b w:val="false"/>
                <w:i w:val="false"/>
                <w:caps w:val="false"/>
                <w:smallCaps w:val="false"/>
                <w:spacing w:val="-2"/>
                <w:sz w:val="20"/>
              </w:rPr>
              <w:t>条规定的无现金行权程序。无须提</w:t>
            </w:r>
            <w:r>
              <w:rPr>
                <w:rFonts w:eastAsia="Times New Roman;Times;Serif"/>
                <w:b w:val="false"/>
                <w:i w:val="false"/>
                <w:caps w:val="false"/>
                <w:smallCaps w:val="false"/>
                <w:sz w:val="20"/>
              </w:rPr>
              <w:t>供墨水原件行权通知，亦无须对任何行权通知进行印鉴保证（或其他类型的保证或公证</w:t>
            </w:r>
            <w:r>
              <w:rPr>
                <w:rFonts w:eastAsia="Times New Roman;Times;Serif"/>
                <w:b w:val="false"/>
                <w:i w:val="false"/>
                <w:caps w:val="false"/>
                <w:smallCaps w:val="false"/>
                <w:spacing w:val="-10"/>
                <w:sz w:val="20"/>
              </w:rPr>
              <w:t>）</w:t>
            </w:r>
            <w:r>
              <w:rPr>
                <w:rFonts w:eastAsia="Times New Roman;Times;Serif"/>
                <w:b w:val="false"/>
                <w:i w:val="false"/>
                <w:caps w:val="false"/>
                <w:smallCaps w:val="false"/>
                <w:spacing w:val="-2"/>
                <w:sz w:val="20"/>
              </w:rPr>
              <w:t>。尽管本认股权证有任何相反规定，在持有人购买本认股权证项下可购买的全部认股权证股份且本认股权证已全部行使之前，持有人无须向公司实际交回本认股权证；届时，持有人应在最终行权通知送达公司之日起三</w:t>
            </w:r>
            <w:r>
              <w:rPr>
                <w:rFonts w:ascii="Times New Roman;Times;Serif" w:hAnsi="Times New Roman;Times;Serif"/>
                <w:b w:val="false"/>
                <w:i w:val="false"/>
                <w:caps w:val="false"/>
                <w:smallCaps w:val="false"/>
                <w:spacing w:val="-2"/>
                <w:sz w:val="20"/>
              </w:rPr>
              <w:t>(3)</w:t>
            </w:r>
            <w:r>
              <w:rPr>
                <w:rFonts w:eastAsia="Times New Roman;Times;Serif"/>
                <w:b w:val="false"/>
                <w:i w:val="false"/>
                <w:caps w:val="false"/>
                <w:smallCaps w:val="false"/>
                <w:spacing w:val="-2"/>
                <w:sz w:val="20"/>
              </w:rPr>
              <w:t>个交易日内将本认股权证交回公司注销。对本认股权证的部分行使导致购买本认股权证项下可购买的认股权证股份总数的一部分的，其效果为将本认股权证项下可购买的未行使认股权证股份数量减少相当于该部分行使所购买的认股权证股份数量。持有人和公司应保存记录，显示已购买的认股权证股份数量及购买日期。公司应在收到任何行权通知后一</w:t>
            </w:r>
            <w:r>
              <w:rPr>
                <w:rFonts w:ascii="Times New Roman;Times;Serif" w:hAnsi="Times New Roman;Times;Serif"/>
                <w:b w:val="false"/>
                <w:i w:val="false"/>
                <w:caps w:val="false"/>
                <w:smallCaps w:val="false"/>
                <w:spacing w:val="-2"/>
                <w:sz w:val="20"/>
              </w:rPr>
              <w:t>(1)</w:t>
            </w:r>
            <w:r>
              <w:rPr>
                <w:rFonts w:eastAsia="Times New Roman;Times;Serif"/>
                <w:b w:val="false"/>
                <w:i w:val="false"/>
                <w:caps w:val="false"/>
                <w:smallCaps w:val="false"/>
                <w:spacing w:val="-2"/>
                <w:sz w:val="20"/>
              </w:rPr>
              <w:t>个交易日内提出对该行权通知的任何异议。持有人及任何受让人接受本认股权证，即确认并同意：由于本段规定，在购买本认股权证项下部分认股权证股份后，本认股权证项下任何特定时间可供购买的认股权证股份数量将少于本认股权证票面所载数量。</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under this Warrant shall be $[•],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10033" w:type="dxa"/>
        <w:jc w:val="left"/>
        <w:tblInd w:w="0" w:type="dxa"/>
        <w:tblLayout w:type="fixed"/>
        <w:tblCellMar>
          <w:top w:w="0" w:type="dxa"/>
          <w:left w:w="0" w:type="dxa"/>
          <w:bottom w:w="0" w:type="dxa"/>
          <w:right w:w="0" w:type="dxa"/>
        </w:tblCellMar>
      </w:tblPr>
      <w:tblGrid>
        <w:gridCol w:w="260"/>
        <w:gridCol w:w="9773"/>
      </w:tblGrid>
      <w:tr>
        <w:trPr/>
        <w:tc>
          <w:tcPr>
            <w:tcW w:w="26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73" w:type="dxa"/>
            <w:tcBorders/>
            <w:vAlign w:val="center"/>
          </w:tcPr>
          <w:p>
            <w:pPr>
              <w:pStyle w:val="TableContents"/>
              <w:bidi w:val="0"/>
              <w:spacing w:lineRule="auto" w:line="276" w:before="0" w:after="283"/>
              <w:jc w:val="left"/>
              <w:rPr>
                <w:caps w:val="false"/>
                <w:smallCaps w:val="false"/>
                <w:spacing w:val="-2"/>
              </w:rPr>
            </w:pPr>
            <w:r>
              <w:rPr>
                <w:rFonts w:eastAsia="Times New Roman;Times;Serif"/>
                <w:b w:val="false"/>
                <w:i w:val="false"/>
                <w:caps w:val="false"/>
                <w:smallCaps w:val="false"/>
                <w:spacing w:val="-2"/>
                <w:sz w:val="20"/>
              </w:rPr>
              <w:t>行权价格。本认股权证项下每股认股权证股份的行权价格为</w:t>
            </w:r>
            <w:r>
              <w:rPr>
                <w:rFonts w:ascii="Times New Roman;Times;Serif" w:hAnsi="Times New Roman;Times;Serif"/>
                <w:b w:val="false"/>
                <w:i w:val="false"/>
                <w:caps w:val="false"/>
                <w:smallCaps w:val="false"/>
                <w:spacing w:val="-2"/>
                <w:sz w:val="20"/>
              </w:rPr>
              <w:t>[•]</w:t>
            </w:r>
            <w:r>
              <w:rPr>
                <w:rFonts w:eastAsia="Times New Roman;Times;Serif"/>
                <w:b w:val="false"/>
                <w:i w:val="false"/>
                <w:caps w:val="false"/>
                <w:smallCaps w:val="false"/>
                <w:spacing w:val="-2"/>
                <w:sz w:val="20"/>
              </w:rPr>
              <w:t>美元，可按本认股权证的规定调整（”行权价格 ”）。</w:t>
            </w:r>
          </w:p>
        </w:tc>
      </w:tr>
    </w:tbl>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to the contrary set forth herein, if at the time of exercise hereof there is no effective registration statement registering, or the prospectus contained therein is not available for the issuance of the Warrant Shares to the Holder, then this Warrant may only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lineRule="auto" w:line="276" w:before="0" w:after="283"/>
              <w:jc w:val="left"/>
              <w:rPr>
                <w:caps w:val="false"/>
                <w:smallCaps w:val="false"/>
                <w:spacing w:val="-2"/>
              </w:rPr>
            </w:pPr>
            <w:r>
              <w:rPr>
                <w:rFonts w:eastAsia="Times New Roman;Times;Serif"/>
                <w:b w:val="false"/>
                <w:i w:val="false"/>
                <w:caps w:val="false"/>
                <w:smallCaps w:val="false"/>
                <w:spacing w:val="-2"/>
                <w:sz w:val="20"/>
              </w:rPr>
              <w:t>无现金行权。尽管本认股权证有任何相反规定，如在行使本认股权证时不存在登记认股权证股份向持有人发行的有效登记声明，或其中所载招股说明书不可用于向持有人发行认股权证股份，则本认股权证届时只能以”无现金行权”方式全部或部分行使，持有人有权获得的认股权证股份数量等于</w:t>
            </w:r>
            <w:r>
              <w:rPr>
                <w:rFonts w:ascii="Times New Roman;Times;Serif" w:hAnsi="Times New Roman;Times;Serif"/>
                <w:b w:val="false"/>
                <w:i w:val="false"/>
                <w:caps w:val="false"/>
                <w:smallCaps w:val="false"/>
                <w:spacing w:val="-2"/>
                <w:sz w:val="20"/>
              </w:rPr>
              <w:t>[(A-B)(X)]</w:t>
            </w:r>
            <w:r>
              <w:rPr>
                <w:rFonts w:eastAsia="Times New Roman;Times;Serif"/>
                <w:b w:val="false"/>
                <w:i w:val="false"/>
                <w:caps w:val="false"/>
                <w:smallCaps w:val="false"/>
                <w:spacing w:val="-2"/>
                <w:sz w:val="20"/>
              </w:rPr>
              <w:t>除以</w:t>
            </w:r>
            <w:r>
              <w:rPr>
                <w:rFonts w:ascii="Times New Roman;Times;Serif" w:hAnsi="Times New Roman;Times;Serif"/>
                <w:b w:val="false"/>
                <w:i w:val="false"/>
                <w:caps w:val="false"/>
                <w:smallCaps w:val="false"/>
                <w:spacing w:val="-2"/>
                <w:sz w:val="20"/>
              </w:rPr>
              <w:t>(A)</w:t>
            </w:r>
            <w:r>
              <w:rPr>
                <w:rFonts w:eastAsia="Times New Roman;Times;Serif"/>
                <w:b w:val="false"/>
                <w:i w:val="false"/>
                <w:caps w:val="false"/>
                <w:smallCaps w:val="false"/>
                <w:spacing w:val="-2"/>
                <w:sz w:val="20"/>
              </w:rPr>
              <w:t>所得的商，其中：</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125"/>
        <w:gridCol w:w="9786"/>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w:t>
            </w:r>
            <w:r>
              <w:rPr>
                <w:rFonts w:ascii="Times New Roman;Times;Serif" w:hAnsi="Times New Roman;Times;Serif"/>
                <w:b w:val="false"/>
                <w:i w:val="false"/>
                <w:caps w:val="false"/>
                <w:smallCaps w:val="false"/>
                <w:sz w:val="20"/>
                <w:u w:val="single"/>
              </w:rPr>
              <w:t>regular trading hours</w:t>
            </w:r>
            <w:r>
              <w:rPr>
                <w:rFonts w:ascii="Times New Roman;Times;Serif" w:hAnsi="Times New Roman;Times;Serif"/>
                <w:b w:val="false"/>
                <w:i w:val="false"/>
                <w:caps w:val="false"/>
                <w:smallCaps w:val="false"/>
                <w:sz w:val="20"/>
              </w:rPr>
              <w:t>” (as defined in Rule 600(b) of Regulation NMS promulgated under the federal securities laws) on such Trading Day, (ii) at the option of the Holder, either (y) the VWAP on the Trading Day immediately preceding the date of the applicable Notice of Exercise or (z) the Bid Price of the Shares on the principal Trading Market as reported by Bloomberg L.P. (“</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as of the time of the Holder’s execution of the applicable Notice of Exercise if such Notice of Exercise is executed during “</w:t>
            </w:r>
            <w:r>
              <w:rPr>
                <w:rFonts w:ascii="Times New Roman;Times;Serif" w:hAnsi="Times New Roman;Times;Serif"/>
                <w:b w:val="false"/>
                <w:i w:val="false"/>
                <w:caps w:val="false"/>
                <w:smallCaps w:val="false"/>
                <w:sz w:val="20"/>
                <w:u w:val="single"/>
              </w:rPr>
              <w:t>regular trading hours</w:t>
            </w:r>
            <w:r>
              <w:rPr>
                <w:rFonts w:ascii="Times New Roman;Times;Serif" w:hAnsi="Times New Roman;Times;Serif"/>
                <w:b w:val="false"/>
                <w:i w:val="false"/>
                <w:caps w:val="false"/>
                <w:smallCaps w:val="false"/>
                <w:sz w:val="20"/>
              </w:rPr>
              <w:t>” on a Trading Day and is delivered within two (2) hours thereafter (including until two (2) hours after the close of “</w:t>
            </w:r>
            <w:r>
              <w:rPr>
                <w:rFonts w:ascii="Times New Roman;Times;Serif" w:hAnsi="Times New Roman;Times;Serif"/>
                <w:b w:val="false"/>
                <w:i w:val="false"/>
                <w:caps w:val="false"/>
                <w:smallCaps w:val="false"/>
                <w:sz w:val="20"/>
                <w:u w:val="single"/>
              </w:rPr>
              <w:t>regular trading hours</w:t>
            </w:r>
            <w:r>
              <w:rPr>
                <w:rFonts w:ascii="Times New Roman;Times;Serif" w:hAnsi="Times New Roman;Times;Serif"/>
                <w:b w:val="false"/>
                <w:i w:val="false"/>
                <w:caps w:val="false"/>
                <w:smallCaps w:val="false"/>
                <w:sz w:val="20"/>
              </w:rPr>
              <w:t>” on a Trading Day) pursuant to Section 2(a) hereof or (iii) the VWAP on the date of the applicable Notice of Exercise if the date of such Notice of Exercise is a Trading Day and such Notice of Exercise is both executed and delivered pursuant to Section 2(a) hereof after the close of “</w:t>
            </w:r>
            <w:r>
              <w:rPr>
                <w:rFonts w:ascii="Times New Roman;Times;Serif" w:hAnsi="Times New Roman;Times;Serif"/>
                <w:b w:val="false"/>
                <w:i w:val="false"/>
                <w:caps w:val="false"/>
                <w:smallCaps w:val="false"/>
                <w:sz w:val="20"/>
                <w:u w:val="single"/>
              </w:rPr>
              <w:t>regular trading hours</w:t>
            </w:r>
            <w:r>
              <w:rPr>
                <w:rFonts w:ascii="Times New Roman;Times;Serif" w:hAnsi="Times New Roman;Times;Serif"/>
                <w:b w:val="false"/>
                <w:i w:val="false"/>
                <w:caps w:val="false"/>
                <w:smallCaps w:val="false"/>
                <w:sz w:val="20"/>
              </w:rPr>
              <w:t>” on such Trading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(A) = </w:t>
      </w:r>
      <w:r>
        <w:rPr>
          <w:rFonts w:eastAsia="Times New Roman;Times;Serif"/>
          <w:b w:val="false"/>
          <w:i w:val="false"/>
          <w:caps w:val="false"/>
          <w:smallCaps w:val="false"/>
          <w:sz w:val="20"/>
        </w:rPr>
        <w:t>视情况而定：</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如适用行权通知</w:t>
      </w:r>
      <w:r>
        <w:rPr>
          <w:rFonts w:ascii="Times New Roman;Times;Serif" w:hAnsi="Times New Roman;Times;Serif"/>
          <w:b w:val="false"/>
          <w:i w:val="false"/>
          <w:caps w:val="false"/>
          <w:smallCaps w:val="false"/>
          <w:sz w:val="20"/>
        </w:rPr>
        <w:t>(1)</w:t>
      </w:r>
      <w:r>
        <w:rPr>
          <w:rFonts w:eastAsia="Times New Roman;Times;Serif"/>
          <w:b w:val="false"/>
          <w:i w:val="false"/>
          <w:caps w:val="false"/>
          <w:smallCaps w:val="false"/>
          <w:sz w:val="20"/>
        </w:rPr>
        <w:t>于非交易日根据本认股权证第</w:t>
      </w:r>
      <w:r>
        <w:rPr>
          <w:rFonts w:ascii="Times New Roman;Times;Serif" w:hAnsi="Times New Roman;Times;Serif"/>
          <w:b w:val="false"/>
          <w:i w:val="false"/>
          <w:caps w:val="false"/>
          <w:smallCaps w:val="false"/>
          <w:sz w:val="20"/>
        </w:rPr>
        <w:t>2(a)</w:t>
      </w:r>
      <w:r>
        <w:rPr>
          <w:rFonts w:eastAsia="Times New Roman;Times;Serif"/>
          <w:b w:val="false"/>
          <w:i w:val="false"/>
          <w:caps w:val="false"/>
          <w:smallCaps w:val="false"/>
          <w:sz w:val="20"/>
        </w:rPr>
        <w:t>条签署并送达，或</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于某交易日”正常交易时段”（定义见根据联邦证券法颁布的</w:t>
      </w:r>
      <w:r>
        <w:rPr>
          <w:rFonts w:ascii="Times New Roman;Times;Serif" w:hAnsi="Times New Roman;Times;Serif"/>
          <w:b w:val="false"/>
          <w:i w:val="false"/>
          <w:caps w:val="false"/>
          <w:smallCaps w:val="false"/>
          <w:sz w:val="20"/>
        </w:rPr>
        <w:t>NMS</w:t>
      </w:r>
      <w:r>
        <w:rPr>
          <w:rFonts w:eastAsia="Times New Roman;Times;Serif"/>
          <w:b w:val="false"/>
          <w:i w:val="false"/>
          <w:caps w:val="false"/>
          <w:smallCaps w:val="false"/>
          <w:sz w:val="20"/>
        </w:rPr>
        <w:t xml:space="preserve">条例第 </w:t>
      </w:r>
      <w:r>
        <w:rPr>
          <w:rFonts w:ascii="Times New Roman;Times;Serif" w:hAnsi="Times New Roman;Times;Serif"/>
          <w:b w:val="false"/>
          <w:i w:val="false"/>
          <w:caps w:val="false"/>
          <w:smallCaps w:val="false"/>
          <w:sz w:val="20"/>
        </w:rPr>
        <w:t>600(b)</w:t>
      </w:r>
      <w:r>
        <w:rPr>
          <w:rFonts w:eastAsia="Times New Roman;Times;Serif"/>
          <w:b w:val="false"/>
          <w:i w:val="false"/>
          <w:caps w:val="false"/>
          <w:smallCaps w:val="false"/>
          <w:sz w:val="20"/>
        </w:rPr>
        <w:t>条）开盘前根据本认股权证第</w:t>
      </w:r>
      <w:r>
        <w:rPr>
          <w:rFonts w:ascii="Times New Roman;Times;Serif" w:hAnsi="Times New Roman;Times;Serif"/>
          <w:b w:val="false"/>
          <w:i w:val="false"/>
          <w:caps w:val="false"/>
          <w:smallCaps w:val="false"/>
          <w:sz w:val="20"/>
        </w:rPr>
        <w:t>2(a)</w:t>
      </w:r>
      <w:r>
        <w:rPr>
          <w:rFonts w:eastAsia="Times New Roman;Times;Serif"/>
          <w:b w:val="false"/>
          <w:i w:val="false"/>
          <w:caps w:val="false"/>
          <w:smallCaps w:val="false"/>
          <w:sz w:val="20"/>
        </w:rPr>
        <w:t>条签署并送达，则为紧接该行权通知日期之前一个交易日的</w:t>
      </w:r>
      <w:r>
        <w:rPr>
          <w:rFonts w:ascii="Times New Roman;Times;Serif" w:hAnsi="Times New Roman;Times;Serif"/>
          <w:b w:val="false"/>
          <w:i w:val="false"/>
          <w:caps w:val="false"/>
          <w:smallCaps w:val="false"/>
          <w:sz w:val="20"/>
        </w:rPr>
        <w:t>VWAP</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 xml:space="preserve">如该行权通知于某交易日”正常交易时段”内签署，并在其后两 </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小时内（包括直至某交易日”正常交易时段”收盘后两</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 xml:space="preserve">小时）根据本认股权证第 </w:t>
      </w:r>
      <w:r>
        <w:rPr>
          <w:rFonts w:ascii="Times New Roman;Times;Serif" w:hAnsi="Times New Roman;Times;Serif"/>
          <w:b w:val="false"/>
          <w:i w:val="false"/>
          <w:caps w:val="false"/>
          <w:smallCaps w:val="false"/>
          <w:sz w:val="20"/>
        </w:rPr>
        <w:t>2(a)</w:t>
      </w:r>
      <w:r>
        <w:rPr>
          <w:rFonts w:eastAsia="Times New Roman;Times;Serif"/>
          <w:b w:val="false"/>
          <w:i w:val="false"/>
          <w:caps w:val="false"/>
          <w:smallCaps w:val="false"/>
          <w:sz w:val="20"/>
        </w:rPr>
        <w:t>条送达，则由持有人选择：</w:t>
      </w:r>
      <w:r>
        <w:rPr>
          <w:rFonts w:ascii="Times New Roman;Times;Serif" w:hAnsi="Times New Roman;Times;Serif"/>
          <w:b w:val="false"/>
          <w:i w:val="false"/>
          <w:caps w:val="false"/>
          <w:smallCaps w:val="false"/>
          <w:sz w:val="20"/>
        </w:rPr>
        <w:t xml:space="preserve">(y) </w:t>
      </w:r>
      <w:r>
        <w:rPr>
          <w:rFonts w:eastAsia="Times New Roman;Times;Serif"/>
          <w:b w:val="false"/>
          <w:i w:val="false"/>
          <w:caps w:val="false"/>
          <w:smallCaps w:val="false"/>
          <w:sz w:val="20"/>
        </w:rPr>
        <w:t>紧接该行权通知日期之前一个交易日的</w:t>
      </w:r>
      <w:r>
        <w:rPr>
          <w:rFonts w:ascii="Times New Roman;Times;Serif" w:hAnsi="Times New Roman;Times;Serif"/>
          <w:b w:val="false"/>
          <w:i w:val="false"/>
          <w:caps w:val="false"/>
          <w:smallCaps w:val="false"/>
          <w:sz w:val="20"/>
        </w:rPr>
        <w:t>VWAP</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(z)</w:t>
      </w:r>
      <w:r>
        <w:rPr>
          <w:rFonts w:eastAsia="Times New Roman;Times;Serif"/>
          <w:b w:val="false"/>
          <w:i w:val="false"/>
          <w:caps w:val="false"/>
          <w:smallCaps w:val="false"/>
          <w:sz w:val="20"/>
        </w:rPr>
        <w:t>彭博有限合伙公司（”彭博”）报告的、持有人签署适用行权通知之时股份在主要交易市场上的买入价；或</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如该行权通知的日期为交易日，且该行权通知于该交易日”正常交易时段”收盘后根据本认股权证第</w:t>
      </w:r>
      <w:r>
        <w:rPr>
          <w:rFonts w:ascii="Times New Roman;Times;Serif" w:hAnsi="Times New Roman;Times;Serif"/>
          <w:b w:val="false"/>
          <w:i w:val="false"/>
          <w:caps w:val="false"/>
          <w:smallCaps w:val="false"/>
          <w:sz w:val="20"/>
        </w:rPr>
        <w:t>2(a)</w:t>
      </w:r>
      <w:r>
        <w:rPr>
          <w:rFonts w:eastAsia="Times New Roman;Times;Serif"/>
          <w:b w:val="false"/>
          <w:i w:val="false"/>
          <w:caps w:val="false"/>
          <w:smallCaps w:val="false"/>
          <w:sz w:val="20"/>
        </w:rPr>
        <w:t>条签署并送达，则为该行权通知日期当日的</w:t>
      </w:r>
      <w:r>
        <w:rPr>
          <w:rFonts w:ascii="Times New Roman;Times;Serif" w:hAnsi="Times New Roman;Times;Serif"/>
          <w:b w:val="false"/>
          <w:i w:val="false"/>
          <w:caps w:val="false"/>
          <w:smallCaps w:val="false"/>
          <w:sz w:val="20"/>
        </w:rPr>
        <w:t>VWAP</w:t>
      </w:r>
      <w:r>
        <w:rPr>
          <w:rFonts w:eastAsia="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890" w:type="dxa"/>
        <w:jc w:val="left"/>
        <w:tblInd w:w="0" w:type="dxa"/>
        <w:tblLayout w:type="fixed"/>
        <w:tblCellMar>
          <w:top w:w="0" w:type="dxa"/>
          <w:left w:w="0" w:type="dxa"/>
          <w:bottom w:w="0" w:type="dxa"/>
          <w:right w:w="0" w:type="dxa"/>
        </w:tblCellMar>
      </w:tblPr>
      <w:tblGrid>
        <w:gridCol w:w="75"/>
        <w:gridCol w:w="335"/>
        <w:gridCol w:w="125"/>
        <w:gridCol w:w="435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(B)</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55" w:type="dxa"/>
            <w:tcBorders/>
            <w:vAlign w:val="center"/>
          </w:tcPr>
          <w:p>
            <w:pPr>
              <w:pStyle w:val="TableContents"/>
              <w:bidi w:val="0"/>
              <w:spacing w:before="0" w:after="283"/>
              <w:jc w:val="both"/>
              <w:rPr/>
            </w:pPr>
            <w:r>
              <w:rPr/>
              <w:t>the Exercise Price, as adjusted hereunder;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(B) = </w:t>
      </w:r>
      <w:r>
        <w:rPr>
          <w:rFonts w:eastAsia="Times New Roman;Times;Serif"/>
          <w:b w:val="false"/>
          <w:i w:val="false"/>
          <w:caps w:val="false"/>
          <w:smallCaps w:val="false"/>
          <w:sz w:val="20"/>
        </w:rPr>
        <w:t>经本认股权证调整后的行权价格；及</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125"/>
        <w:gridCol w:w="9696"/>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(X)</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6" w:type="dxa"/>
            <w:tcBorders/>
            <w:vAlign w:val="center"/>
          </w:tcPr>
          <w:p>
            <w:pPr>
              <w:pStyle w:val="TableContents"/>
              <w:bidi w:val="0"/>
              <w:spacing w:before="0" w:after="283"/>
              <w:jc w:val="both"/>
              <w:rPr/>
            </w:pPr>
            <w:r>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0" w:right="0" w:hanging="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(X) = </w:t>
      </w:r>
      <w:r>
        <w:rPr>
          <w:rFonts w:eastAsia="Times New Roman;Times;Serif"/>
          <w:b w:val="false"/>
          <w:i w:val="false"/>
          <w:caps w:val="false"/>
          <w:smallCaps w:val="false"/>
          <w:sz w:val="20"/>
        </w:rPr>
        <w:t>如按现金行权而非无现金行权方式行使本认股权证，则按本认股权证条款行使本认股权证时本应可发行的认股权证股份数量。</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Warrant Shares shall be restricted securities to the same extent of the Warrants unless such Warrant Shares are registered for resale under an effective registration statement or may be sold pursuant to an available exemption from registration under the Securities Act, and the Holder shall comply with the Agreement, Regulation S and all applicable transfer restrictions with respect to such Warrant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如认股权证股份以该无现金行权方式发行，则该等认股权证股份应与认股权证同等程度地属于受限制证券，除非该等认股权证股份已根据有效登记声明登记转售，或可依据《证券法》项下可用的登记豁免出售，且持有人应就该等认股权证股份遵守该协议、《</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条例》及所有适用的转让限制。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Shares are then listed or quoted on a Trading Market, the bid price of the Share for the time in question (or the nearest preceding date) on the Trading Market on which the Shares are then listed or quoted as reported by Bloomberg (based on a Trading Day from 9:30 a.m. (New York City time) to 4:02 p.m. (New York City time)), (b) if OTCQB or OTCQX is not a Trading Market, the volume weighted average price of the Shares for such date (or the nearest preceding date) on OTCQB or OTCQX as applicable, (c) if the Shares are not then listed or quoted for trading on OTCQB or OTCQX and if prices for the Shares are then reported on the Pink Open Market (or a similar organization or agency succeeding to its functions of reporting prices), the most recent bid price per Share so reported, or (d) in all other cases, the fair market value of a Share as determined by an independent appraiser selected in good faith by the Holder and reasonably acceptable to the Company, the reasonable and documented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买入价”指，就任何日期而言，按以下最先适用的条款确定的价格：</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如股份当时在交易市场上市或挂牌，则为彭博报告的股份当时上市或挂牌的交易市场上相关时间（或最近的在先日期）的股份买入价（基于纽约时间上午</w:t>
      </w:r>
      <w:r>
        <w:rPr>
          <w:rFonts w:ascii="Times New Roman;Times;Serif" w:hAnsi="Times New Roman;Times;Serif"/>
          <w:b w:val="false"/>
          <w:i w:val="false"/>
          <w:caps w:val="false"/>
          <w:smallCaps w:val="false"/>
          <w:sz w:val="20"/>
        </w:rPr>
        <w:t>9:30</w:t>
      </w:r>
      <w:r>
        <w:rPr>
          <w:rFonts w:eastAsia="Times New Roman;Times;Serif"/>
          <w:b w:val="false"/>
          <w:i w:val="false"/>
          <w:caps w:val="false"/>
          <w:smallCaps w:val="false"/>
          <w:sz w:val="20"/>
        </w:rPr>
        <w:t>至下午</w:t>
      </w:r>
      <w:r>
        <w:rPr>
          <w:rFonts w:ascii="Times New Roman;Times;Serif" w:hAnsi="Times New Roman;Times;Serif"/>
          <w:b w:val="false"/>
          <w:i w:val="false"/>
          <w:caps w:val="false"/>
          <w:smallCaps w:val="false"/>
          <w:sz w:val="20"/>
        </w:rPr>
        <w:t>4:02</w:t>
      </w:r>
      <w:r>
        <w:rPr>
          <w:rFonts w:eastAsia="Times New Roman;Times;Serif"/>
          <w:b w:val="false"/>
          <w:i w:val="false"/>
          <w:caps w:val="false"/>
          <w:smallCaps w:val="false"/>
          <w:sz w:val="20"/>
        </w:rPr>
        <w:t>的交易日）；</w:t>
      </w: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 xml:space="preserve">如 </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并非交易市场，则为股份于该日期（或最近的在先日期）在</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（视情况而定）上的成交量加权平均价；</w:t>
      </w:r>
      <w:r>
        <w:rPr>
          <w:rFonts w:ascii="Times New Roman;Times;Serif" w:hAnsi="Times New Roman;Times;Serif"/>
          <w:b w:val="false"/>
          <w:i w:val="false"/>
          <w:caps w:val="false"/>
          <w:smallCaps w:val="false"/>
          <w:sz w:val="20"/>
        </w:rPr>
        <w:t xml:space="preserve">(c) </w:t>
      </w:r>
      <w:r>
        <w:rPr>
          <w:rFonts w:eastAsia="Times New Roman;Times;Serif"/>
          <w:b w:val="false"/>
          <w:i w:val="false"/>
          <w:caps w:val="false"/>
          <w:smallCaps w:val="false"/>
          <w:sz w:val="20"/>
        </w:rPr>
        <w:t>如股份当时未在</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上市或挂牌交易，且股份价格当时在</w:t>
      </w:r>
      <w:r>
        <w:rPr>
          <w:rFonts w:ascii="Times New Roman;Times;Serif" w:hAnsi="Times New Roman;Times;Serif"/>
          <w:b w:val="false"/>
          <w:i w:val="false"/>
          <w:caps w:val="false"/>
          <w:smallCaps w:val="false"/>
          <w:sz w:val="20"/>
        </w:rPr>
        <w:t>Pink Open Market</w:t>
      </w:r>
      <w:r>
        <w:rPr>
          <w:rFonts w:eastAsia="Times New Roman;Times;Serif"/>
          <w:b w:val="false"/>
          <w:i w:val="false"/>
          <w:caps w:val="false"/>
          <w:smallCaps w:val="false"/>
          <w:sz w:val="20"/>
        </w:rPr>
        <w:t>（或承继其价格报告职能的类似组织或机构）上报告，则为如此报告的最近每股买入价；或</w:t>
      </w: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在所有其他情况下，为由持有人善意选定且公司合理接受的独立评估师确定的每股公允市场价值，该评估师合理且有凭证的费用及开支由公司支付。</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 including any day on which the Trading Market is open for trading for a period of time less than the customary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eastAsia="Times New Roman;Times;Serif"/>
          <w:b w:val="false"/>
          <w:i w:val="false"/>
          <w:caps w:val="false"/>
          <w:smallCaps w:val="false"/>
          <w:sz w:val="20"/>
        </w:rPr>
        <w:t>交易日”指交易市场开市交易的任何一天，包括交易市场开市交易时间短于惯常时间的任何一天。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Shares are then listed or quoted on a Trading Market, the daily volume weighted average price of the Shares for such date (or the nearest preceding date) on the Trading Market on which the Shares are then listed or quoted as reported by Bloomberg (based on a Trading Day from 9:30 a.m. (New York City time) to 4:02 p.m. (New York City time)), (b) if OTCQB or OTCQX is not a Trading Market, the volume weighted average price of the Share for such date (or the nearest preceding date) on OTCQB or OTCQX as applicable, (c) if the Shares are not then listed or quoted for trading on OTCQB or OTCQX and if prices for the Shares are then reported on the Pink Open Market (or a similar organization or agency succeeding to its functions of reporting prices), the most recent bid price per Share so reported, or (d) in all other cases, the fair market value of a Share as determined by an independent appraiser selected in good faith by the Holder and reasonably acceptable to the Company, the reasonable and documented fees and expenses of which shall be paid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VWAP”</w:t>
      </w:r>
      <w:r>
        <w:rPr>
          <w:rFonts w:eastAsia="Times New Roman;Times;Serif"/>
          <w:b w:val="false"/>
          <w:i w:val="false"/>
          <w:caps w:val="false"/>
          <w:smallCaps w:val="false"/>
          <w:sz w:val="20"/>
        </w:rPr>
        <w:t>（成交量加权平均价）指，就任何日期而言，按以下最先适用的条款确定的价格：</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如股份当时在交易市场上市或挂牌，则为彭博报告的股份当时上市或挂牌的交易市场上该日期（或最近的在先日期）股份的每日成交量加权平均价（基于纽约时间上午</w:t>
      </w:r>
      <w:r>
        <w:rPr>
          <w:rFonts w:ascii="Times New Roman;Times;Serif" w:hAnsi="Times New Roman;Times;Serif"/>
          <w:b w:val="false"/>
          <w:i w:val="false"/>
          <w:caps w:val="false"/>
          <w:smallCaps w:val="false"/>
          <w:sz w:val="20"/>
        </w:rPr>
        <w:t>9:30</w:t>
      </w:r>
      <w:r>
        <w:rPr>
          <w:rFonts w:eastAsia="Times New Roman;Times;Serif"/>
          <w:b w:val="false"/>
          <w:i w:val="false"/>
          <w:caps w:val="false"/>
          <w:smallCaps w:val="false"/>
          <w:sz w:val="20"/>
        </w:rPr>
        <w:t>至下午</w:t>
      </w:r>
      <w:r>
        <w:rPr>
          <w:rFonts w:ascii="Times New Roman;Times;Serif" w:hAnsi="Times New Roman;Times;Serif"/>
          <w:b w:val="false"/>
          <w:i w:val="false"/>
          <w:caps w:val="false"/>
          <w:smallCaps w:val="false"/>
          <w:sz w:val="20"/>
        </w:rPr>
        <w:t>4:02</w:t>
      </w:r>
      <w:r>
        <w:rPr>
          <w:rFonts w:eastAsia="Times New Roman;Times;Serif"/>
          <w:b w:val="false"/>
          <w:i w:val="false"/>
          <w:caps w:val="false"/>
          <w:smallCaps w:val="false"/>
          <w:sz w:val="20"/>
        </w:rPr>
        <w:t>的交易日）；</w:t>
      </w: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如</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并非交易市场，则为股份于该日期（或最近的在先日期）在</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（视情况而定）上的成交量加权平均价；</w:t>
      </w:r>
      <w:r>
        <w:rPr>
          <w:rFonts w:ascii="Times New Roman;Times;Serif" w:hAnsi="Times New Roman;Times;Serif"/>
          <w:b w:val="false"/>
          <w:i w:val="false"/>
          <w:caps w:val="false"/>
          <w:smallCaps w:val="false"/>
          <w:sz w:val="20"/>
        </w:rPr>
        <w:t xml:space="preserve">(c) </w:t>
      </w:r>
      <w:r>
        <w:rPr>
          <w:rFonts w:eastAsia="Times New Roman;Times;Serif"/>
          <w:b w:val="false"/>
          <w:i w:val="false"/>
          <w:caps w:val="false"/>
          <w:smallCaps w:val="false"/>
          <w:sz w:val="20"/>
        </w:rPr>
        <w:t>如股份当时未在</w:t>
      </w:r>
      <w:r>
        <w:rPr>
          <w:rFonts w:ascii="Times New Roman;Times;Serif" w:hAnsi="Times New Roman;Times;Serif"/>
          <w:b w:val="false"/>
          <w:i w:val="false"/>
          <w:caps w:val="false"/>
          <w:smallCaps w:val="false"/>
          <w:sz w:val="20"/>
        </w:rPr>
        <w:t>OTCQB</w:t>
      </w:r>
      <w:r>
        <w:rPr>
          <w:rFonts w:eastAsia="Times New Roman;Times;Serif"/>
          <w:b w:val="false"/>
          <w:i w:val="false"/>
          <w:caps w:val="false"/>
          <w:smallCaps w:val="false"/>
          <w:sz w:val="20"/>
        </w:rPr>
        <w:t>或</w:t>
      </w:r>
      <w:r>
        <w:rPr>
          <w:rFonts w:ascii="Times New Roman;Times;Serif" w:hAnsi="Times New Roman;Times;Serif"/>
          <w:b w:val="false"/>
          <w:i w:val="false"/>
          <w:caps w:val="false"/>
          <w:smallCaps w:val="false"/>
          <w:sz w:val="20"/>
        </w:rPr>
        <w:t>OTCQX</w:t>
      </w:r>
      <w:r>
        <w:rPr>
          <w:rFonts w:eastAsia="Times New Roman;Times;Serif"/>
          <w:b w:val="false"/>
          <w:i w:val="false"/>
          <w:caps w:val="false"/>
          <w:smallCaps w:val="false"/>
          <w:sz w:val="20"/>
        </w:rPr>
        <w:t>上市或挂牌交易，且股份价格当时在</w:t>
      </w:r>
      <w:r>
        <w:rPr>
          <w:rFonts w:ascii="Times New Roman;Times;Serif" w:hAnsi="Times New Roman;Times;Serif"/>
          <w:b w:val="false"/>
          <w:i w:val="false"/>
          <w:caps w:val="false"/>
          <w:smallCaps w:val="false"/>
          <w:sz w:val="20"/>
        </w:rPr>
        <w:t>Pink Open Market</w:t>
      </w:r>
      <w:r>
        <w:rPr>
          <w:rFonts w:eastAsia="Times New Roman;Times;Serif"/>
          <w:b w:val="false"/>
          <w:i w:val="false"/>
          <w:caps w:val="false"/>
          <w:smallCaps w:val="false"/>
          <w:sz w:val="20"/>
        </w:rPr>
        <w:t>（或承继其价格报告职能的类似组织或机构）上报告，则为如此报告的最近每股买入价；或</w:t>
      </w: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在所有其他情况下，为由持有人善意选定且公司合理接受的独立评估师确定的每股公允市场价值，该评估师合理且有凭证的费用及开支由公司支付。</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719"/>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行权机制。</w:t>
      </w:r>
    </w:p>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Company’s Transfer Agent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the Warrant Shares, registered in the Company’s share register in the name of the Holder or its designee, for the number of Warrant Shares set forth in the Notice of Exercise to the address specified by the Holder in such Notice of Exercise by the date that is three (3) business days after delivery to the Company of the Notice of Exercise and payment of the aggregate Exercise Price (other than in the case of a cashless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The Company agrees to maintain a transfer agent (the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Shares as in effect on the date of delivery of the Notice of Exercise.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p>
        </w:tc>
        <w:tc>
          <w:tcPr>
            <w:tcW w:w="10041"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行权后认股权证股份的交付。如公司的过户代理人当时是存管信托公司（</w:t>
            </w:r>
            <w:r>
              <w:rPr>
                <w:rFonts w:ascii="Times New Roman;Times;Serif" w:hAnsi="Times New Roman;Times;Serif"/>
                <w:b w:val="false"/>
                <w:i w:val="false"/>
                <w:caps w:val="false"/>
                <w:smallCaps w:val="false"/>
                <w:sz w:val="20"/>
              </w:rPr>
              <w:t>The Depository Trust Company</w:t>
            </w:r>
            <w:r>
              <w:rPr>
                <w:rFonts w:eastAsia="Times New Roman;Times;Serif"/>
                <w:b w:val="false"/>
                <w:i w:val="false"/>
                <w:caps w:val="false"/>
                <w:smallCaps w:val="false"/>
                <w:sz w:val="20"/>
              </w:rPr>
              <w:t>）”存管或托管人提取”系统（”</w:t>
            </w:r>
            <w:r>
              <w:rPr>
                <w:rFonts w:ascii="Times New Roman;Times;Serif" w:hAnsi="Times New Roman;Times;Serif"/>
                <w:b w:val="false"/>
                <w:i w:val="false"/>
                <w:caps w:val="false"/>
                <w:smallCaps w:val="false"/>
                <w:sz w:val="20"/>
              </w:rPr>
              <w:t>DWAC”</w:t>
            </w:r>
            <w:r>
              <w:rPr>
                <w:rFonts w:eastAsia="Times New Roman;Times;Serif"/>
                <w:b w:val="false"/>
                <w:i w:val="false"/>
                <w:caps w:val="false"/>
                <w:smallCaps w:val="false"/>
                <w:sz w:val="20"/>
              </w:rPr>
              <w:t>）的参与者，且</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存在允许向持有人发行认股权证股份或允许持有人转售认股权证股份的有效登记声明，或 </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本认股权证系通过无现金行权方式行使，则公司应促使过户代理人通过将认股权证股份记入持有人或其指定人在存管信托公司的余额账户的方式，将本认股权证项下购买的认股权证股份传送给持有人；否则，公司应以实物方式交付以持有人或其指定人的名义登记在公司股份登记册上的、行权通知中载明数量的认股权证股份，送达持有人在该行权通知中指定的地址，交付日期不迟于行权通知送达公司并支付行权价格总额（无现金行权的情形除外）后第三</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个营业日（该日期，”认股权证股份交付日”）。行权通知送达后，就所有公司目的而言，持有人应被视为已成为本认股权证所行使的认股权证股份的登记持有人，无论认股权证股份的交付日期为何，但前提是行权价格总额（无现金行权的情形除外）在认股权证股份交付日之前收到。公司同意，在本认股权证仍未到期且可行使期间，维持一名属于</w:t>
            </w:r>
            <w:r>
              <w:rPr>
                <w:rFonts w:ascii="Times New Roman;Times;Serif" w:hAnsi="Times New Roman;Times;Serif"/>
                <w:b w:val="false"/>
                <w:i w:val="false"/>
                <w:caps w:val="false"/>
                <w:smallCaps w:val="false"/>
                <w:sz w:val="20"/>
              </w:rPr>
              <w:t>FAST</w:t>
            </w:r>
            <w:r>
              <w:rPr>
                <w:rFonts w:eastAsia="Times New Roman;Times;Serif"/>
                <w:b w:val="false"/>
                <w:i w:val="false"/>
                <w:caps w:val="false"/>
                <w:smallCaps w:val="false"/>
                <w:sz w:val="20"/>
              </w:rPr>
              <w:t>计划参与者的过户代理人（”过户代理人”）。本认股权证中所用”标准结算期”指行权通知送达之日有效的、公司股份主要交易市场上以交易日数表示的标准结算期。</w:t>
            </w:r>
          </w:p>
        </w:tc>
      </w:tr>
    </w:tbl>
    <w:p>
      <w:pPr>
        <w:pStyle w:val="TextBody"/>
        <w:bidi w:val="0"/>
        <w:spacing w:before="0" w:after="0"/>
        <w:ind w:left="0" w:right="0" w:hanging="13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p>
        </w:tc>
        <w:tc>
          <w:tcPr>
            <w:tcW w:w="9949"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行权后新认股权证的交付。如本认股权证已被部分行使，公司应应持有人的请求，在交回本认股权证证书后，于交付认股权证股份时向持有人交付一份新认股权证，证明持有人购买本认股权证项下未购买的认股权证股份的权利，该新认股权证在所有其他方面应与本认股权证完全相同。</w:t>
            </w:r>
          </w:p>
        </w:tc>
      </w:tr>
    </w:tbl>
    <w:p>
      <w:pPr>
        <w:pStyle w:val="TextBody"/>
        <w:bidi w:val="0"/>
        <w:spacing w:before="0" w:after="0"/>
        <w:ind w:left="0" w:right="0" w:hanging="13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Warrant Shares or scrip representing fractional Warrant Shares shall be issued upon the exercise of this Warrant. As to any fraction of a Warrant Share which the Holder would otherwise be entitled to purchase upon such exercise, such fraction shall be rounded up to the nearest whole Warrant Share.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p>
        </w:tc>
        <w:tc>
          <w:tcPr>
            <w:tcW w:w="9881"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不发行零碎股份或代股票凭证。行使本认股权证时，不发行零碎认股权证股份或代表零碎认股权证股份的代股票凭证。对于持有人在该行使中本应有权购买的任何零碎认股权证股份，该零碎部分应向上取整至最接近的整数认股权证股份。</w:t>
            </w:r>
          </w:p>
        </w:tc>
      </w:tr>
    </w:tbl>
    <w:p>
      <w:pPr>
        <w:pStyle w:val="TextBody"/>
        <w:bidi w:val="0"/>
        <w:spacing w:before="0" w:after="0"/>
        <w:ind w:left="0" w:right="0" w:hanging="13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The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the Notice of Exercise shall be accompanied by the Assignment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duly executed by the Holder and the Company may require, as a condition thereto, the payment of a sum sufficient to reimburse it for any transfer tax incidental thereto and this Warrant shall be surrendered to the Company and, if any portion of this Warrant remains unexercised, a new Warrant in the form hereof shall be delivered to the assignee. The Company shall pay all Transfer Agent fees required for same- 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p>
        </w:tc>
        <w:tc>
          <w:tcPr>
            <w:tcW w:w="9930"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费用、税项及开支。认股权证股份的发行和交付不向持有人收取与该等认股权证股份发行有关的任何发行税或转让税或其他附带费用，所有该等税项和费用均由公司支付，且该等认股权证股份应以持有人的名义或按持有人指示的一个或多个名义发行；但如认股权证股份将以持有人以外的名义发行，行权通知应随附由持有人正式签署的本认股权证附件</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所附转让表格，且公司可要求支付足以补偿其因此产生的任何转让税的款项作为条件，并且本认股权证应交回公司；如本认股权证的任何部分仍未行使，则应向受让人交付一份采用本认股权证格式的新认股权证。公司应支付即日处理任何行权通知所需的所有过户代理人费用，以及即日以电子方式交付认股权证股份所需的应付存管信托公司（或履行类似职能的其他成熟清算公司）的所有费用。</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0" w:right="0" w:firstLine="1440"/>
        <w:jc w:val="both"/>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260"/>
        <w:gridCol w:w="9460"/>
      </w:tblGrid>
      <w:tr>
        <w:trPr/>
        <w:tc>
          <w:tcPr>
            <w:tcW w:w="260"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460" w:type="dxa"/>
            <w:tcBorders/>
            <w:vAlign w:val="center"/>
          </w:tcPr>
          <w:p>
            <w:pPr>
              <w:pStyle w:val="TableContents"/>
              <w:bidi w:val="0"/>
              <w:spacing w:lineRule="auto" w:line="276" w:before="0" w:after="283"/>
              <w:jc w:val="left"/>
              <w:rPr>
                <w:caps w:val="false"/>
                <w:smallCaps w:val="false"/>
              </w:rPr>
            </w:pPr>
            <w:r>
              <w:rPr>
                <w:caps w:val="false"/>
                <w:smallCaps w:val="false"/>
              </w:rPr>
              <w:t> </w:t>
            </w:r>
            <w:r>
              <w:rPr>
                <w:rFonts w:eastAsia="Times New Roman;Times;Serif"/>
                <w:b w:val="false"/>
                <w:i w:val="false"/>
                <w:caps w:val="false"/>
                <w:smallCaps w:val="false"/>
                <w:spacing w:val="-2"/>
                <w:sz w:val="20"/>
              </w:rPr>
              <w:t>股东名册的关闭。公司不会以任何妨碍按本认股权证条款及时行使本认股权证的方式关闭其股东名册或记录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whose beneficial ownership would be aggregated with the Holder under Section 13(d) of the Exchange Act and the rules and regulations promulgated thereunder (collectively, “Attribution Parties”), would beneficially own in excess of the Beneficial Ownership Limitation. For purposes of the foregoing sentence, the number of Shares beneficially owned by the Holder and its Attribution Parties shall include the number of Shares issuable upon exercise of this Warrant with respect to which such determination is being made, but shall exclude the number of Shares which would be issuable upon exercise of the remaining, nonexercised portion of this Warrant and any other securities of the Company subject to a limitation on conversion or exercise analogous to the limitation contained herein. Beneficial ownership shall be calculated in accordance with Section 13(d) of the Exchange Act and the rules and regulations promulgated thereunder, and the Holder shall be solely responsible for determining and complying with any schedules, reports, or filings required in connection therewith. The “Beneficial Ownership Limitation” shall be 4.99% of the number of Shares outstanding immediately after giving effect to the issuance of Shares upon exercise of this Warrant. The Beneficial Ownership Limitation may not be increased unless the Company consents in writing. The Holder shall provide the Company with written certifications regarding its beneficial ownership before and after exercise as the Company reasonably requests, and any Notice of Exercise delivered in violation of this Section 2(e) shall be void to the extent of such excess. The limitations contained in this Section 2(e) shall apply to a successor holder of this Warrant.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5"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持有人的行权限制。公司不得进行本认股权证的任何行使，且持有人无权根据第</w:t>
            </w:r>
            <w:r>
              <w:rPr>
                <w:rFonts w:ascii="Times New Roman;Times;Serif" w:hAnsi="Times New Roman;Times;Serif"/>
                <w:b w:val="false"/>
                <w:i w:val="false"/>
                <w:caps w:val="false"/>
                <w:smallCaps w:val="false"/>
                <w:sz w:val="20"/>
              </w:rPr>
              <w:t>2</w:t>
            </w:r>
            <w:r>
              <w:rPr>
                <w:rFonts w:eastAsia="Times New Roman;Times;Serif"/>
                <w:b w:val="false"/>
                <w:i w:val="false"/>
                <w:caps w:val="false"/>
                <w:smallCaps w:val="false"/>
                <w:sz w:val="20"/>
              </w:rPr>
              <w:t>条或以其他方式行使本认股权证的任何部分，条件是：在按适用行权通知所载于行权后实施该发行后，持有人连同持有人的关联方以及依据《交易法》第</w:t>
            </w:r>
            <w:r>
              <w:rPr>
                <w:rFonts w:ascii="Times New Roman;Times;Serif" w:hAnsi="Times New Roman;Times;Serif"/>
                <w:b w:val="false"/>
                <w:i w:val="false"/>
                <w:caps w:val="false"/>
                <w:smallCaps w:val="false"/>
                <w:sz w:val="20"/>
              </w:rPr>
              <w:t>13(d)</w:t>
            </w:r>
            <w:r>
              <w:rPr>
                <w:rFonts w:eastAsia="Times New Roman;Times;Serif"/>
                <w:b w:val="false"/>
                <w:i w:val="false"/>
                <w:caps w:val="false"/>
                <w:smallCaps w:val="false"/>
                <w:sz w:val="20"/>
              </w:rPr>
              <w:t>条及其项下颁布的规则和条例其实益所有权将与持有人合并计算的任何其他人士（统称”归属方”），将实益拥有超过实益所有权限制的股份。就前句而言，持有人及其归属方实益拥有的股份数量应包括就其作出该认定的行使本认股权证时可发行的股份数量，但应排除行使本认股权证剩余未行使部分时将可发行的股份数量，以及受与本认股权证所载限制类似的转换或行使限制约束的公司任何其他证券。实益所有权应按照《交易法》第</w:t>
            </w:r>
            <w:r>
              <w:rPr>
                <w:rFonts w:ascii="Times New Roman;Times;Serif" w:hAnsi="Times New Roman;Times;Serif"/>
                <w:b w:val="false"/>
                <w:i w:val="false"/>
                <w:caps w:val="false"/>
                <w:smallCaps w:val="false"/>
                <w:sz w:val="20"/>
              </w:rPr>
              <w:t>13(d)</w:t>
            </w:r>
            <w:r>
              <w:rPr>
                <w:rFonts w:eastAsia="Times New Roman;Times;Serif"/>
                <w:b w:val="false"/>
                <w:i w:val="false"/>
                <w:caps w:val="false"/>
                <w:smallCaps w:val="false"/>
                <w:sz w:val="20"/>
              </w:rPr>
              <w:t>条及其项下颁布的规则和条例计算，持有人应自行负责确定并遵守与此相关的任何附表、报告或备案要求。”实益所有权限制”应为紧接因行使本认股权证而发行股份后已发行股份数量的</w:t>
            </w:r>
            <w:r>
              <w:rPr>
                <w:rFonts w:ascii="Times New Roman;Times;Serif" w:hAnsi="Times New Roman;Times;Serif"/>
                <w:b w:val="false"/>
                <w:i w:val="false"/>
                <w:caps w:val="false"/>
                <w:smallCaps w:val="false"/>
                <w:sz w:val="20"/>
              </w:rPr>
              <w:t>4.99%</w:t>
            </w:r>
            <w:r>
              <w:rPr>
                <w:rFonts w:eastAsia="Times New Roman;Times;Serif"/>
                <w:b w:val="false"/>
                <w:i w:val="false"/>
                <w:caps w:val="false"/>
                <w:smallCaps w:val="false"/>
                <w:sz w:val="20"/>
              </w:rPr>
              <w:t>。未经公司书面同意，实益所有权限制不得提高。持有人应按公司合理要求，在行权前后向公司提供关于其实益所有权的书面证明，任何违反本第</w:t>
            </w:r>
            <w:r>
              <w:rPr>
                <w:rFonts w:ascii="Times New Roman;Times;Serif" w:hAnsi="Times New Roman;Times;Serif"/>
                <w:b w:val="false"/>
                <w:i w:val="false"/>
                <w:caps w:val="false"/>
                <w:smallCaps w:val="false"/>
                <w:sz w:val="20"/>
              </w:rPr>
              <w:t>2(e)</w:t>
            </w:r>
            <w:r>
              <w:rPr>
                <w:rFonts w:eastAsia="Times New Roman;Times;Serif"/>
                <w:b w:val="false"/>
                <w:i w:val="false"/>
                <w:caps w:val="false"/>
                <w:smallCaps w:val="false"/>
                <w:sz w:val="20"/>
              </w:rPr>
              <w:t>条送达的行权通知在超出部分的范围内无效。本第</w:t>
            </w:r>
            <w:r>
              <w:rPr>
                <w:rFonts w:ascii="Times New Roman;Times;Serif" w:hAnsi="Times New Roman;Times;Serif"/>
                <w:b w:val="false"/>
                <w:i w:val="false"/>
                <w:caps w:val="false"/>
                <w:smallCaps w:val="false"/>
                <w:sz w:val="20"/>
              </w:rPr>
              <w:t>2(e)</w:t>
            </w:r>
            <w:r>
              <w:rPr>
                <w:rFonts w:eastAsia="Times New Roman;Times;Serif"/>
                <w:b w:val="false"/>
                <w:i w:val="false"/>
                <w:caps w:val="false"/>
                <w:smallCaps w:val="false"/>
                <w:sz w:val="20"/>
              </w:rPr>
              <w:t>条所载限制适用于本认股权证的继任持有人。</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Notwithstanding anything to the contrary in this Warrant, the Agreement, or any other Warrant issued pursuant to the Agreement, unless and until the Company has obtained any stockholder/director approval required by Nasdaq rules or the Company has determined that such issuance or exercise does not require stockholder/director approval under Nasdaq rules, the Company shall not effect any exercise of this Warrant, and the Holder shall not have the right to exercise any portion of this Warrant, to the extent such exercise would result in the aggregate number of Shares issued or issuable under the Agreement, including the signing grant, all invoice-linked Warrants, any Warrants issued in respect of outside equipment or assets exceeding 19.99% of the number of shares of the Company’s common stock outstanding immediately before the signing of the Agreement (the “Exchange Cap”). All Warrants issued or issuable under the Agreement shall be aggregated for purposes of applying the Exchange Cap, and any Notice of Exercise delivered in violation of this Section 2(f) shall be void to the extent of such excess.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1"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交易所上限。尽管本认股权证、该协议或根据该协议发行的任何其他认股权证有任何相反规定，除非且直至公司已取得纳斯达克规则所要求的任何股东</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董事批准，或公司已确定该发行或行使根据纳斯达克规则无须股东</w:t>
            </w:r>
            <w:r>
              <w:rPr>
                <w:rFonts w:ascii="Times New Roman;Times;Serif" w:hAnsi="Times New Roman;Times;Serif"/>
                <w:b w:val="false"/>
                <w:i w:val="false"/>
                <w:caps w:val="false"/>
                <w:smallCaps w:val="false"/>
                <w:sz w:val="20"/>
              </w:rPr>
              <w:t>/</w:t>
            </w:r>
            <w:r>
              <w:rPr>
                <w:rFonts w:eastAsia="Times New Roman;Times;Serif"/>
                <w:b w:val="false"/>
                <w:i w:val="false"/>
                <w:caps w:val="false"/>
                <w:smallCaps w:val="false"/>
                <w:sz w:val="20"/>
              </w:rPr>
              <w:t>董事批准，否则公司不得进行本认股权证的任何行使，且持有人无权行使本认股权证的任何部分，条件是该行使将导致根据该协议已发行或可发行的股份总数（包括签约授予、所有与发票挂钩的认股权证、就外部设备或资产发行的任何认股权证）超过紧接该协议签署前公司已发行普通股数量的</w:t>
            </w:r>
            <w:r>
              <w:rPr>
                <w:rFonts w:ascii="Times New Roman;Times;Serif" w:hAnsi="Times New Roman;Times;Serif"/>
                <w:b w:val="false"/>
                <w:i w:val="false"/>
                <w:caps w:val="false"/>
                <w:smallCaps w:val="false"/>
                <w:sz w:val="20"/>
              </w:rPr>
              <w:t>19.99%</w:t>
            </w:r>
            <w:r>
              <w:rPr>
                <w:rFonts w:eastAsia="Times New Roman;Times;Serif"/>
                <w:b w:val="false"/>
                <w:i w:val="false"/>
                <w:caps w:val="false"/>
                <w:smallCaps w:val="false"/>
                <w:sz w:val="20"/>
              </w:rPr>
              <w:t>（”交易所上限”）。为适用交易所上限之目的，根据该协议已发行或可发行的所有认股权证应合并计算，任何违反本第</w:t>
            </w:r>
            <w:r>
              <w:rPr>
                <w:rFonts w:ascii="Times New Roman;Times;Serif" w:hAnsi="Times New Roman;Times;Serif"/>
                <w:b w:val="false"/>
                <w:i w:val="false"/>
                <w:caps w:val="false"/>
                <w:smallCaps w:val="false"/>
                <w:sz w:val="20"/>
              </w:rPr>
              <w:t>2(f)</w:t>
            </w:r>
            <w:r>
              <w:rPr>
                <w:rFonts w:eastAsia="Times New Roman;Times;Serif"/>
                <w:b w:val="false"/>
                <w:i w:val="false"/>
                <w:caps w:val="false"/>
                <w:smallCaps w:val="false"/>
                <w:sz w:val="20"/>
              </w:rPr>
              <w:t>条送达的行权通知在超出部分的范围内无效。</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 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 若干调整。</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Shares or any other equity or equity equivalent securities payable in Shares (which, for avoidance of doubt, shall not include any Shares issued by the Company upon exercise of this Warrant), (ii) subdivides outstanding Shares into a larger number of shares, (iii) combines (including by way of reverse stock split) outstanding Shares into a smaller number of shares, or (iv) issues by reclassification of Shares any shares of capital stock of the Company, then in each case the Exercise Price shall be multiplied by a fraction of which the numerator shall be the number of Shares (excluding treasury shares, if any) outstanding immediately before such event and of which the denominator shall be the number of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 classification.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股票股息及拆分。如公司在本认股权证存续期间的任何时间：</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派发股票股息，或以股份支付的方式就其股份或任何其他股权或股权等价证券进行一次或多次分配（为免生疑问，不包括公司因行使本认股权证而发行的任何股份）；</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将已发行股份细分为更多数量的股份；</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将已发行股份合并（包括以反向股票拆分的方式）为更少数量的股份；或</w:t>
            </w:r>
            <w:r>
              <w:rPr>
                <w:rFonts w:ascii="Times New Roman;Times;Serif" w:hAnsi="Times New Roman;Times;Serif"/>
                <w:b w:val="false"/>
                <w:i w:val="false"/>
                <w:caps w:val="false"/>
                <w:smallCaps w:val="false"/>
                <w:sz w:val="20"/>
              </w:rPr>
              <w:t xml:space="preserve">(iv) </w:t>
            </w:r>
            <w:r>
              <w:rPr>
                <w:rFonts w:eastAsia="Times New Roman;Times;Serif"/>
                <w:b w:val="false"/>
                <w:i w:val="false"/>
                <w:caps w:val="false"/>
                <w:smallCaps w:val="false"/>
                <w:sz w:val="20"/>
              </w:rPr>
              <w:t>通过股份重新分类发行公司任何股本股份，则在上述每种情况下，行权价格应乘以一个分数，该分数的分子为紧接该事件之前已发行的股份数量（不包括库存股，如有），分母为紧接该事件之后已发行的股份数量，且行使本认股权证时可发行的股份数量应按比例调整，使本认股权证的行权价格总额保持不变。根据本第</w:t>
            </w:r>
            <w:r>
              <w:rPr>
                <w:rFonts w:ascii="Times New Roman;Times;Serif" w:hAnsi="Times New Roman;Times;Serif"/>
                <w:b w:val="false"/>
                <w:i w:val="false"/>
                <w:caps w:val="false"/>
                <w:smallCaps w:val="false"/>
                <w:sz w:val="20"/>
              </w:rPr>
              <w:t>3(a)</w:t>
            </w:r>
            <w:r>
              <w:rPr>
                <w:rFonts w:eastAsia="Times New Roman;Times;Serif"/>
                <w:b w:val="false"/>
                <w:i w:val="false"/>
                <w:caps w:val="false"/>
                <w:smallCaps w:val="false"/>
                <w:sz w:val="20"/>
              </w:rPr>
              <w:t>条作出的任何调整，应在确定有权收取该股息或分配的股东的登记日之后立即生效；如属细分、合并或重新分类，则应在生效日之后立即生效。</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Reorganization Event</w:t>
      </w:r>
      <w:r>
        <w:rPr>
          <w:rFonts w:ascii="Times New Roman;Times;Serif" w:hAnsi="Times New Roman;Times;Serif"/>
          <w:b w:val="false"/>
          <w:i w:val="false"/>
          <w:caps w:val="false"/>
          <w:smallCaps w:val="false"/>
          <w:sz w:val="20"/>
        </w:rPr>
        <w:t>. In case of any recapitalization or reorganization of the Company or in case the Company shall consolidate with or merge into one or more other corporations or entities which results in a change of the Warrant Shares (each, a “</w:t>
      </w:r>
      <w:r>
        <w:rPr>
          <w:rFonts w:ascii="Times New Roman;Times;Serif" w:hAnsi="Times New Roman;Times;Serif"/>
          <w:b w:val="false"/>
          <w:i w:val="false"/>
          <w:caps w:val="false"/>
          <w:smallCaps w:val="false"/>
          <w:sz w:val="20"/>
          <w:u w:val="single"/>
        </w:rPr>
        <w:t>Reorganization Event</w:t>
      </w:r>
      <w:r>
        <w:rPr>
          <w:rFonts w:ascii="Times New Roman;Times;Serif" w:hAnsi="Times New Roman;Times;Serif"/>
          <w:b w:val="false"/>
          <w:i w:val="false"/>
          <w:caps w:val="false"/>
          <w:smallCaps w:val="false"/>
          <w:sz w:val="20"/>
        </w:rPr>
        <w:t>”), then, and in each such case, the Holder, upon the exercise of this Warrant after such Reorganization Event, shall be entitled to receive, in lieu of the stock or other securities and property that the Holder would have been entitled to receive upon such exercise prior to such Reorganization Event, the stock or other securities or property which the Holder would have been entitled to receive upon such Reorganization Event if, immediately prior to such Reorganization Event, the Holder had completed such exercise of this Warrant, all subject to further adjustment as provided in this Warrant. If after such Reorganization Event the Warrant is exercisable for securities of a corporation or entity other than the Company, then such corporation or entity shall duly execute and deliver to the Holder a supplement hereto acknowledging such corporation’s or other entity’s obligations under this Warrant, and in each such case the terms of this Warrant shall be applicable to the shares of stock or other securities or property receivable upon the exercise of this Warrant after the consummation of such Reorganization Event.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left"/>
              <w:rPr>
                <w:rFonts w:eastAsia="Times New Roman;Times;Serif"/>
                <w:b w:val="false"/>
                <w:i w:val="false"/>
                <w:caps w:val="false"/>
                <w:smallCaps w:val="false"/>
                <w:sz w:val="20"/>
              </w:rPr>
            </w:pPr>
            <w:r>
              <w:rPr>
                <w:rFonts w:eastAsia="Times New Roman;Times;Serif"/>
                <w:b w:val="false"/>
                <w:i w:val="false"/>
                <w:caps w:val="false"/>
                <w:smallCaps w:val="false"/>
                <w:sz w:val="20"/>
              </w:rPr>
              <w:t>重组事件。如公司发生任何资本重组或重组，或公司与一家或多家其他公司或实体合并或兼并并导致认股权证股份发生变化（各称一项”重组事件”），则在每种该等情况下，持有人在该重组事件后行使本认股权证时，有权收取如其在紧接该重组事件之前已完成行使本认股权证则其在该重组事件中本应有权收取的股票或其他证券或财产，以替代其在该重组事件之前行使本认股权证本应有权收取的股票或其他证券及财产，上述一切均须按本认股权证的规定作进一步调整。如在该重组事件之后，本认股权证可行使以获得公司以外的公司或实体的证券，则该公司或实体应正式签署并向持有人交付本认股权证的补充文件，确认该公司或其他实体在本认股权证项下的义务，且在每种该等情况下，本认股权证的条款应适用于在该重组事件完成后行使本认股权证时可收取的股票或其他证券或财产。</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Shares deemed to be issued and outstanding as of a given date shall be the sum of the number of Shares (excluding treasury shares, if any) issued and outstanding.</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1" w:type="dxa"/>
            <w:tcBorders/>
            <w:vAlign w:val="center"/>
          </w:tcPr>
          <w:p>
            <w:pPr>
              <w:pStyle w:val="TableContents"/>
              <w:bidi w:val="0"/>
              <w:spacing w:before="0" w:after="283"/>
              <w:jc w:val="left"/>
              <w:rPr>
                <w:caps w:val="false"/>
                <w:smallCaps w:val="false"/>
              </w:rPr>
            </w:pPr>
            <w:r>
              <w:rPr>
                <w:rFonts w:eastAsia="Times New Roman;Times;Serif"/>
                <w:b w:val="false"/>
                <w:i w:val="false"/>
                <w:caps w:val="false"/>
                <w:smallCaps w:val="false"/>
                <w:sz w:val="20"/>
              </w:rPr>
              <w:t>计算。本第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条项下的所有计算应精确至最接近的美分或最接近的</w:t>
            </w:r>
            <w:r>
              <w:rPr>
                <w:rFonts w:ascii="Times New Roman;Times;Serif" w:hAnsi="Times New Roman;Times;Serif"/>
                <w:b w:val="false"/>
                <w:i w:val="false"/>
                <w:caps w:val="false"/>
                <w:smallCaps w:val="false"/>
                <w:sz w:val="20"/>
              </w:rPr>
              <w:t>1/100</w:t>
            </w:r>
            <w:r>
              <w:rPr>
                <w:rFonts w:eastAsia="Times New Roman;Times;Serif"/>
                <w:b w:val="false"/>
                <w:i w:val="false"/>
                <w:caps w:val="false"/>
                <w:smallCaps w:val="false"/>
                <w:sz w:val="20"/>
              </w:rPr>
              <w:t>股（视情况而定）。就本第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条而言，于任何特定日期视为已发行且流通在外的股份数量，应为已发行且流通在外的股份（不包括库存股，如有）数量之和。</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hanging="7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719"/>
        <w:jc w:val="both"/>
        <w:rPr>
          <w:caps w:val="false"/>
          <w:smallCaps w:val="false"/>
        </w:rPr>
      </w:pPr>
      <w:r>
        <w:rPr>
          <w:caps w:val="false"/>
          <w:smallCaps w:val="false"/>
        </w:rPr>
        <w:t> </w:t>
      </w:r>
    </w:p>
    <w:tbl>
      <w:tblPr>
        <w:tblW w:w="2286" w:type="dxa"/>
        <w:jc w:val="left"/>
        <w:tblInd w:w="0" w:type="dxa"/>
        <w:tblLayout w:type="fixed"/>
        <w:tblCellMar>
          <w:top w:w="0" w:type="dxa"/>
          <w:left w:w="0" w:type="dxa"/>
          <w:bottom w:w="0" w:type="dxa"/>
          <w:right w:w="0" w:type="dxa"/>
        </w:tblCellMar>
      </w:tblPr>
      <w:tblGrid>
        <w:gridCol w:w="305"/>
        <w:gridCol w:w="1981"/>
      </w:tblGrid>
      <w:tr>
        <w:trPr/>
        <w:tc>
          <w:tcPr>
            <w:tcW w:w="305" w:type="dxa"/>
            <w:tcBorders/>
            <w:vAlign w:val="center"/>
          </w:tcPr>
          <w:p>
            <w:pPr>
              <w:pStyle w:val="TableContents"/>
              <w:bidi w:val="0"/>
              <w:spacing w:lineRule="auto" w:line="276"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1981" w:type="dxa"/>
            <w:tcBorders/>
            <w:vAlign w:val="center"/>
          </w:tcPr>
          <w:p>
            <w:pPr>
              <w:pStyle w:val="TableContents"/>
              <w:bidi w:val="0"/>
              <w:spacing w:lineRule="auto" w:line="276" w:before="0" w:after="283"/>
              <w:jc w:val="left"/>
              <w:rPr>
                <w:rFonts w:eastAsia="Times New Roman;Times;Serif"/>
                <w:b w:val="false"/>
                <w:i w:val="false"/>
                <w:caps w:val="false"/>
                <w:smallCaps w:val="false"/>
                <w:spacing w:val="-1"/>
                <w:sz w:val="20"/>
              </w:rPr>
            </w:pPr>
            <w:r>
              <w:rPr>
                <w:rFonts w:eastAsia="Times New Roman;Times;Serif"/>
                <w:b w:val="false"/>
                <w:i w:val="false"/>
                <w:caps w:val="false"/>
                <w:smallCaps w:val="false"/>
                <w:spacing w:val="-1"/>
                <w:sz w:val="20"/>
              </w:rPr>
              <w:t>向持有人发出的通知。</w:t>
            </w:r>
          </w:p>
        </w:tc>
      </w:tr>
    </w:tbl>
    <w:p>
      <w:pPr>
        <w:pStyle w:val="TextBody"/>
        <w:bidi w:val="0"/>
        <w:spacing w:before="0" w:after="0"/>
        <w:ind w:left="0" w:right="0" w:hanging="719"/>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0"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行权价格的调整。每当行权价格根据本第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条的任何规定作出调整时，公司应及时通过传真或电子邮件向持有人送达通知，载明调整后的行权价格及认股权证股份数量的任何相应调整，并简要说明要求作出该调整的事实。</w:t>
            </w:r>
          </w:p>
        </w:tc>
      </w:tr>
    </w:tbl>
    <w:p>
      <w:pPr>
        <w:pStyle w:val="TextBody"/>
        <w:bidi w:val="0"/>
        <w:jc w:val="both"/>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The Company shall provide prompt notice to the Holder, using commercially reasonable efforts to provide such notice at least 5 business days in advance, of any adjustment made pursuant to this Section 3 or any Reorganization Event;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73"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允许持有人行权的通知。公司应就根据本第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条作出的任何调整或任何重组事件及时通知持有人，并尽商业上合理的努力至少提前</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个营业日发出该通知；但未能送达该通知 ，或该通知或其送达存在任何瑕疵，均不影响须在该通知中载明的公司行为的效力。除本认股权证另有明确规定外，持有人在自该通知之日起至触发该通知的事件生效之日止的期间内，仍有权行使本认股权证。</w:t>
            </w:r>
          </w:p>
        </w:tc>
      </w:tr>
    </w:tbl>
    <w:p>
      <w:pPr>
        <w:pStyle w:val="TextBody"/>
        <w:bidi w:val="0"/>
        <w:spacing w:before="0" w:after="0"/>
        <w:ind w:left="0" w:right="0" w:hanging="60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4</w:t>
      </w:r>
      <w:r>
        <w:rPr>
          <w:rFonts w:eastAsia="Times New Roman;Times;Serif"/>
          <w:b w:val="false"/>
          <w:i w:val="false"/>
          <w:caps w:val="false"/>
          <w:smallCaps w:val="false"/>
          <w:sz w:val="20"/>
        </w:rPr>
        <w:t>条 认股权证的转让。</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This Warrant and all rights hereunder may not be transferred, in whole or in part, without the prior written consent of the Company, which consent may be withheld in the Company’s sole discretion; provided, however, that, in the case of a transfer of this Warrant to an affiliate of the Holder designated in accordance with Section 5(f) of the Agreement, such consent shall not be unreasonably withheld. Any transfer of this Warrant or the Warrant Shares must comply with Regulation S, the Securities Act, applicable state securities laws, the Agreement, this Warrant, any applicable distribution compliance period, and any applicable restrictive legend or stop-transfer instructions. Any purported transfer in violation of this Section 4(a) shall be null and void and of no force or effect. As a condition to any transfer of this Warrant, the Company may require that the transferee agree in writing to be bound by the terms of this Warrant and the applicable provisions of the Agreement and the Holder and transferee may be required to make customary representations regarding compliance with applicable securities laws and the Agreement. In the event the Company consents to a transfer, such transfer shall be effected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i w:val="false"/>
          <w:caps w:val="false"/>
          <w:smallCaps w:val="false"/>
          <w:sz w:val="20"/>
          <w:u w:val="single"/>
        </w:rPr>
        <w:t>Exhibit B</w:t>
      </w:r>
      <w:r>
        <w:rPr>
          <w:rFonts w:ascii="Times New Roman;Times;Serif" w:hAnsi="Times New Roman;Times;Serif"/>
          <w:b w:val="false"/>
          <w:i w:val="false"/>
          <w:caps w:val="false"/>
          <w:smallCaps w:val="false"/>
          <w:sz w:val="20"/>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可转让性。未经公司事先书面同意，本认股权证及本认股权证项下的一切权利不得全部或部分转让，公司可自行酌情决定不给予该同意；但就本认股权证转让予持有人根据该协议第</w:t>
            </w:r>
            <w:r>
              <w:rPr>
                <w:rFonts w:ascii="Times New Roman;Times;Serif" w:hAnsi="Times New Roman;Times;Serif"/>
                <w:b w:val="false"/>
                <w:i w:val="false"/>
                <w:caps w:val="false"/>
                <w:smallCaps w:val="false"/>
                <w:sz w:val="20"/>
              </w:rPr>
              <w:t>5(f)</w:t>
            </w:r>
            <w:r>
              <w:rPr>
                <w:rFonts w:eastAsia="Times New Roman;Times;Serif"/>
                <w:b w:val="false"/>
                <w:i w:val="false"/>
                <w:caps w:val="false"/>
                <w:smallCaps w:val="false"/>
                <w:sz w:val="20"/>
              </w:rPr>
              <w:t>条指定的关联方而言，该同意不得被无理拒绝。本认股权证或认股权证股份的任何转让必须符合《</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条例》、《证券法》、适用的州证券法、该协议、本认股权证、任何适用的分销合规期以及任何适用的限制性说明或止付过户指示。任何违反本第</w:t>
            </w:r>
            <w:r>
              <w:rPr>
                <w:rFonts w:ascii="Times New Roman;Times;Serif" w:hAnsi="Times New Roman;Times;Serif"/>
                <w:b w:val="false"/>
                <w:i w:val="false"/>
                <w:caps w:val="false"/>
                <w:smallCaps w:val="false"/>
                <w:sz w:val="20"/>
              </w:rPr>
              <w:t>4(a)</w:t>
            </w:r>
            <w:r>
              <w:rPr>
                <w:rFonts w:eastAsia="Times New Roman;Times;Serif"/>
                <w:b w:val="false"/>
                <w:i w:val="false"/>
                <w:caps w:val="false"/>
                <w:smallCaps w:val="false"/>
                <w:sz w:val="20"/>
              </w:rPr>
              <w:t>条的意图转让均属无效，不具有任何效力。作为本认股权证任何转让的条件，公司可要求受让人书面同意受本认股权证条款及该协议相关条款的约束，且持有人及受让人可被要求就遵守适用证券法及该协议作出惯常声明。如公司同意转让，该转让应在向公司主要办事处或其指定代理人交回本认股权证时进行，并附上一份由持有人或其代理人或律师正式签署的 、实质上采用本认股权证附件</w:t>
            </w:r>
            <w:r>
              <w:rPr>
                <w:rFonts w:ascii="Times New Roman;Times;Serif" w:hAnsi="Times New Roman;Times;Serif"/>
                <w:b w:val="false"/>
                <w:i w:val="false"/>
                <w:caps w:val="false"/>
                <w:smallCaps w:val="false"/>
                <w:sz w:val="20"/>
              </w:rPr>
              <w:t>B</w:t>
            </w:r>
            <w:r>
              <w:rPr>
                <w:rFonts w:eastAsia="Times New Roman;Times;Serif"/>
                <w:b w:val="false"/>
                <w:i w:val="false"/>
                <w:caps w:val="false"/>
                <w:smallCaps w:val="false"/>
                <w:sz w:val="20"/>
              </w:rPr>
              <w:t>格式的本认股权证书面转让书，以及足以支付因该转让而应缴纳的任何转让税的款项。在交回本认股权证并（如有要求）支付上述款项后，公司应以一名或多名受让人（如适用）的名义、按转让文书中指明的一个或多个面额签署并交付一份或多份新认股权证，并向转让人发行一份新认股权证以证明本认股权证未被转让的部分，且本认股权证应及时注销。尽管本认股权证有任何相反规定，除非持有人已全部转让本认股权证，否则持有人无须向公司实际交回本认股权证；在全部转让的情况下，持有人应在其向公司交付全部转让本认股权证的转让表格之日起三</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个交易日内向公司交回本认股权证。如按本认股权证的规定正式转让，新持有人可行使本认股权证购买认股权证股份，而无须签发新认股权证。</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2"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新认股权证。本认股权证可在公司上述办事处出示后进行分割或与其他认股权证合并 ，同时附上由持有人或其代理人或律师签署的书面通知，指明新认股权证的签发名称及面额。在遵守第</w:t>
            </w:r>
            <w:r>
              <w:rPr>
                <w:rFonts w:ascii="Times New Roman;Times;Serif" w:hAnsi="Times New Roman;Times;Serif"/>
                <w:b w:val="false"/>
                <w:i w:val="false"/>
                <w:caps w:val="false"/>
                <w:smallCaps w:val="false"/>
                <w:sz w:val="20"/>
              </w:rPr>
              <w:t>4(a)</w:t>
            </w:r>
            <w:r>
              <w:rPr>
                <w:rFonts w:eastAsia="Times New Roman;Times;Serif"/>
                <w:b w:val="false"/>
                <w:i w:val="false"/>
                <w:caps w:val="false"/>
                <w:smallCaps w:val="false"/>
                <w:sz w:val="20"/>
              </w:rPr>
              <w:t>条的前提下，就该分割或合并可能涉及的任何转让而言，公司应按照该通知签署并交付一份或多份新认股权证，以换取拟分割或合并的一份或多份认股权证。所有因转让或换发而签发的认股权证，其日期应为本认股权证的初始签发日期，且除据其可发行的认股权证股份数量外，应与本认股权证完全相同。</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00"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股权证登记册。公司应在其为此目的保存的记录（”认股权证登记册”）上，以本认股权证不时的登记持有人的名义登记本认股权证。在无相反实际通知的情况下，公司可将本认股权证的登记持有人视为并作为本认股权证的绝对所有人，以进行本认股权证的任何行使或向持有人进行任何分配，以及用于所有其他目的。</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第</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条 杂项。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pursuant to Section 2(c), in no event shall the Company be required to net cash settle an exercise of this Warrant.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行使前无股东权利；不以现金结算。除第</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条明确规定外，在按第</w:t>
            </w:r>
            <w:r>
              <w:rPr>
                <w:rFonts w:ascii="Times New Roman;Times;Serif" w:hAnsi="Times New Roman;Times;Serif"/>
                <w:b w:val="false"/>
                <w:i w:val="false"/>
                <w:caps w:val="false"/>
                <w:smallCaps w:val="false"/>
                <w:sz w:val="20"/>
              </w:rPr>
              <w:t>2(d)(i)</w:t>
            </w:r>
            <w:r>
              <w:rPr>
                <w:rFonts w:eastAsia="Times New Roman;Times;Serif"/>
                <w:b w:val="false"/>
                <w:i w:val="false"/>
                <w:caps w:val="false"/>
                <w:smallCaps w:val="false"/>
                <w:sz w:val="20"/>
              </w:rPr>
              <w:t>条所述行使本认股权证之前，本认股权证并不赋予持有人作为公司股东的任何投票权、股息或其他权利。在不限制持有人根据第</w:t>
            </w:r>
            <w:r>
              <w:rPr>
                <w:rFonts w:ascii="Times New Roman;Times;Serif" w:hAnsi="Times New Roman;Times;Serif"/>
                <w:b w:val="false"/>
                <w:i w:val="false"/>
                <w:caps w:val="false"/>
                <w:smallCaps w:val="false"/>
                <w:sz w:val="20"/>
              </w:rPr>
              <w:t>2(c)</w:t>
            </w:r>
            <w:r>
              <w:rPr>
                <w:rFonts w:eastAsia="Times New Roman;Times;Serif"/>
                <w:b w:val="false"/>
                <w:i w:val="false"/>
                <w:caps w:val="false"/>
                <w:smallCaps w:val="false"/>
                <w:sz w:val="20"/>
              </w:rPr>
              <w:t>条以”无现金行权”方式获得认股权证股份的任何权利的前提下，公司在任何情况下均无义务以净现金方式结算本认股权证的行使。</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1"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认股权证的遗失、被盗、毁损或残损。公司承诺：在公司收到其合理满意的关于本认股权证或与认股权证股份有关的任何股票证书遗失、被盗、毁损或残损的证据后，并且在遗失、被盗或毁损的情况下收到其合理满意的补偿或担保（就本认股权证而言，不包括提供任何保证金）后，以及在残损的情况下于交回并注销该认股权证或股票证书后，公司将制作并交付一份条款相同、注明该注销日期的新认股权证或股票证书，以替代该认股权证或股票证书。</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9"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星期六、星期日、节假日等。如采取本认股权证要求或准许的任何行动的最后日期或指定日期、或任何权利届满的日期并非交易日，则该行动可于其后的下一个交易日采取，或该权利可于其后的下一个交易日行使。</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during the period the Warrant is outstanding, it will reserve from its authorized and unissued Shares a sufficient number of shares to provide for the issuance of the Warrant Shares underlying this Warrant, subject in all respects to the Agreement, the Beneficial Ownership Limitation and the Exchange Cap. The Company further covenants that its issuance of this Warrant shall constitute full authority to its officers who are charged with the duty of issuing the necessary Warrant Shares upon the exercise of the purchase rights under this Warrant, subject to the satisfaction of all conditions to issuance set forth in the Agreement and this Warrant. The Company will take all such reasonable action as may be necessary to assure that such Warrant Shares may be issued, and the Warrant Shares, delivered, as provided herein without violation of any applicable law or regulation, or of any requirements of the Trading Market upon which the Shares may be listed. The Company covenants that all Warrant Shares underlying this Warrant,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8"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法定股份。公司承诺，在本认股权证存续期间，公司将从其法定且未发行的股份中保留足够数量的股份，以供发行本认股权证项下的认股权证股份，惟在各方面均须遵守该协议、实益所有权限制及交易所上限。公司进一步承诺，其发行本认股权证即构成对其负责在行使本认股权证项下购买权时发行必要认股权证股份的高级职员的充分授权，惟须满足该协议及本认股权证所载的所有发行条件。公司将采取一切合理必要的行动，确保该等认股权证股份可按本认股权证的规定发行和交付，而不违反任何适用法律法规或股份可能上市的交易市场的任何要求。公司承诺，凡因行使本认股权证所代表的购买权而可能发行的本认股权证项下所有认股权证股份，在行使该购买权并按本认股权证的规定支付该等认股权证股份的价款后，将获正式授权、有效发行、缴足股款且无需缴纳额外股款，并且不附带公司就其发行所设定的一切税项、留置权及押记（与该发行同时发生的任何转让相关的税项除外）。</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Shares above the amount payable therefor upon such exercise immediately prior to such increase in par value, (ii) take all such action as may be necessary or appropriate in order that the Company may validly and legally issue fully paid and nonassessable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除持有人放弃或同意的情形及范围外，公司不得通过任何行动（包括但不限于修订其公司注册证书，或通过任何重组、资产转让、合并、兼并、解散、证券发行或出售或任何其他自愿行动）规避或试图规避对本认股权证任何条款的遵守或履行，而应始终善意地协助落实所有该等条款，并采取一切必要或适当的行动，保护持有人在本认股权证项下的权利免受损害。在不限制前述规定的一般性的前提下，公司将：</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不将任何股份的面值提高至超过紧接该等面值提高之前行使本认股权证时应付的金额；</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采取一切必要或适当的行动，使公司可在行使本认股权证时有效、合法地发行缴足股款且无需缴纳额外股款的股份；及</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尽商业上合理的努力，取得对其有管辖权的任何公共监管机构的一切必要授权、豁免或同意，以使公司能够履行其在本认股权证项下的义务。</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在采取任何将导致本认股权证可行使的认股权证股份数量或行权价格发生调整的行动之前 ，公司应从对其有管辖权的任何一个或多个公共监管机构取得一切必要的授权、豁免或同意。</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Agreement.</w:t>
      </w:r>
    </w:p>
    <w:p>
      <w:pPr>
        <w:pStyle w:val="TextBody"/>
        <w:bidi w:val="0"/>
        <w:spacing w:before="0" w:after="0"/>
        <w:ind w:left="0" w:right="0" w:firstLine="144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245"/>
        <w:gridCol w:w="8030"/>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030"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管辖。有关本认股权证的解释、效力、执行及释义的所有问题，均应按照该协议的规定确定。</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this Warrant and the Warrant Shares have not been registered under the Securities Act or any state securities laws, are being issued pursuant to Regulation S, constitute restricted securities, and are subject to the transfer restrictions set forth in the Agreement and this Warrant. The Holder further acknowledges that its ownership, beneficial ownership, exercise, transfer, or disposition of this Warrant and any Warrant Shares may result in reporting, filing, or other compliance obligations under U.S. federal securities laws, Commission rules, and Nasdaq rules, including beneficial ownership reporting obligations to the extent applicable, and the Holder shall be solely responsible for determining and complying with any such obligations. At such time as any restrictive legend is no longer required under the Securities Act (including Regulation S), applicable state securities laws, the Agreement, or this Warrant, the Company shall use commercially reasonable efforts to cooperate with the Holder, upon the Holder’s reasonable request, in the removal of such legend from this Warrant or the applicable Warrant Shares, including by providing customary instructions to the Transfer Agent.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2"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限制。持有人确认，本认股权证及认股权证股份未根据《证券法》或任何州证券法登记，系根据《</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发行，构成受限制证券，并受该协议及本认股权证所载转让限制的约束。持有人进一步确认，其对本认股权证及任何认股权证股份的所有权、实益所有权、行使、转让或处置，可能导致其承担美国联邦证券法、美国证券交易委员会规则及纳斯达克规则项下的报告、备案或其他合规义务（包括在适用范围内的实益所有权报告义务），持有人应自行负责确定并遵守任何该等义务。当根据《证券法》（包括《</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适用的州证券法、该协议或本认股权证，任何限制性说明不再属必需时，公司应尽商业上合理的努力，应持有人的合理请求，配合持有人从本认股权证或相关认股权证股份上移除该等限制性说明，包括向过户代理人提供惯常指示。</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If any action at law or in equity (including arbitration) is necessary to enforce or interpret any terms of this Warrant, the prevailing party shall be entitled to reasonable attorneys’ fees, costs and necessary disbursements in addition to any other relief to which such party may be entitled.</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7"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不放弃权利及费用。持有人方面的任何交易惯例，或迟延或未能行使本认股权证项下的任何权利，均不构成对该权利的放弃，亦不以其他方式损害持有人的权利、权力或救济 。如有必要通过法律或衡平法上的诉讼（包括仲裁）执行或解释本认股权证的任何条款，胜诉方除有权获得其可能有权获得的任何其他救济外，还有权获得合理的律师费、费用及必要支出。</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Agreement.</w:t>
      </w:r>
    </w:p>
    <w:p>
      <w:pPr>
        <w:pStyle w:val="TextBody"/>
        <w:bidi w:val="0"/>
        <w:spacing w:before="0" w:after="0"/>
        <w:ind w:left="0" w:right="0" w:firstLine="144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260"/>
        <w:gridCol w:w="920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200"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通知。公司须向或获准向持有人发出或送达的任何通知、请求或其他文件，应按照该协议的通知条款送达。</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8"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责任限制。在持有人未采取任何积极行动行使本认股权证以购买认股权证股份的情况下，本认股权证的任何条款以及本认股权证中对持有人权利或特权的任何列举，均不使持有人对任何股份的购买价格承担任何责任，亦不使其作为公司股东承担任何责任，无论该等责任系由公司还是公司的债权人主张。</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w:t>
      </w:r>
    </w:p>
    <w:p>
      <w:pPr>
        <w:pStyle w:val="TextBody"/>
        <w:bidi w:val="0"/>
        <w:spacing w:before="0" w:after="0"/>
        <w:ind w:left="0" w:right="0" w:firstLine="144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7"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救济。持有人除有权行使法律赋予的一切权利（包括获得损害赔偿）外，还有权就其在本认股权证项下的权利获得特定履行救济。</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83"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继承人及受让人。在遵守适用证券法的前提下，本认股权证及其所证明的权利和义务 ，应使公司的继承人及获准受让人以及持有人的继承人及获准受让人受益，并对其具有约束力。本认股权证的条款旨在使本认股权证不时的任何持有人受益，并可由持有人或认股权证股份的持有人执行。</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w:t>
      </w:r>
    </w:p>
    <w:p>
      <w:pPr>
        <w:pStyle w:val="TextBody"/>
        <w:bidi w:val="0"/>
        <w:spacing w:before="0" w:after="0"/>
        <w:ind w:left="0" w:right="0" w:firstLine="144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215"/>
        <w:gridCol w:w="8225"/>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8225"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修订。经公司（一方）与持有人的书面同意，本认股权证可予修改或修订，或其条款可予放弃。</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35"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可分割性。在可能的范围内，本认股权证的每一条款均应以在适用法律下有效且可执行的方式解释；但如本认股权证的任何条款被适用法律禁止或依适用法律无效，则该条款仅在该等禁止或无效的范围内失效，而不影响该条款其余部分或本认股权证其余条款的效力。</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firstLine="1440"/>
        <w:jc w:val="both"/>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260"/>
        <w:gridCol w:w="9200"/>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200"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标题。本认股权证中使用的标题仅为方便查阅而设，无论出于何种目的，均不应视为本认股权证的一部分。</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Electronic Signatures</w:t>
      </w:r>
      <w:r>
        <w:rPr>
          <w:rFonts w:ascii="Times New Roman;Times;Serif" w:hAnsi="Times New Roman;Times;Serif"/>
          <w:b w:val="false"/>
          <w:i w:val="false"/>
          <w:caps w:val="false"/>
          <w:smallCaps w:val="false"/>
          <w:sz w:val="20"/>
        </w:rPr>
        <w:t>. Electronically scanned and transmitted signatures, including by email attachment, shall be deemed originals for all purposes of this Warrant.</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51"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电子签名。以电子方式扫描并传送的签名（包括通过电子邮件附件传送的签名），就本认股权证的所有目的而言均应视为原件。</w:t>
            </w:r>
          </w:p>
        </w:tc>
      </w:tr>
    </w:tbl>
    <w:p>
      <w:pPr>
        <w:pStyle w:val="TextBody"/>
        <w:bidi w:val="0"/>
        <w:spacing w:before="0" w:after="0"/>
        <w:ind w:left="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Language. This Warrant has been prepared in both English and Chinese. The Chinese text is a translation provided for convenience of reference only and shall have no legal effect. In the event of any conflict, discrepancy, or ambiguity between the English version and the Chinese translation, the English version shall govern and control for all purposes.</w:t>
            </w:r>
          </w:p>
        </w:tc>
      </w:tr>
    </w:tbl>
    <w:p>
      <w:pPr>
        <w:pStyle w:val="TextBody"/>
        <w:bidi w:val="0"/>
        <w:spacing w:before="0" w:after="0"/>
        <w:ind w:left="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76"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语言。本认股权证以英文和中文两种文字作成。中文文本仅为参考便利而提供的译文 ，不具有法律效力。如英文文本与中文译文之间存在任何冲突、不一致或歧义，概以英文文本为准，并就所有目的以英文文本为准进行解释。</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eastAsia="Times New Roman;Times;Serif"/>
          <w:b w:val="false"/>
          <w:i/>
          <w:caps w:val="false"/>
          <w:smallCaps w:val="false"/>
          <w:sz w:val="20"/>
        </w:rPr>
      </w:pPr>
      <w:r>
        <w:rPr>
          <w:rFonts w:eastAsia="Times New Roman;Times;Serif"/>
          <w:b w:val="false"/>
          <w:i/>
          <w:caps w:val="false"/>
          <w:smallCaps w:val="false"/>
          <w:sz w:val="20"/>
        </w:rPr>
        <w:t>（签字页随后）</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兹证明，公司已促使其正式授权的高级职员于上文首列日期签署本认股权证。</w:t>
      </w:r>
    </w:p>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670"/>
        <w:gridCol w:w="4820"/>
      </w:tblGrid>
      <w:tr>
        <w:trPr/>
        <w:tc>
          <w:tcPr>
            <w:tcW w:w="75" w:type="dxa"/>
            <w:tcBorders/>
            <w:vAlign w:val="center"/>
          </w:tcPr>
          <w:p>
            <w:pPr>
              <w:pStyle w:val="TableContents"/>
              <w:bidi w:val="0"/>
              <w:spacing w:before="0" w:after="283"/>
              <w:jc w:val="both"/>
              <w:rPr/>
            </w:pPr>
            <w:r>
              <w:rPr/>
              <w:t> </w:t>
            </w:r>
          </w:p>
        </w:tc>
        <w:tc>
          <w:tcPr>
            <w:tcW w:w="6490" w:type="dxa"/>
            <w:gridSpan w:val="2"/>
            <w:tcBorders/>
            <w:vAlign w:val="center"/>
          </w:tcPr>
          <w:p>
            <w:pPr>
              <w:pStyle w:val="TableContents"/>
              <w:bidi w:val="0"/>
              <w:spacing w:before="0" w:after="283"/>
              <w:jc w:val="both"/>
              <w:rPr/>
            </w:pPr>
            <w:r>
              <w:rPr>
                <w:b/>
              </w:rPr>
              <w:t>APTERA MOTORS CORP.</w:t>
            </w:r>
            <w:r>
              <w:rPr>
                <w:b/>
              </w:rPr>
              <w:t xml:space="preserve">（阿普特拉汽车公司 </w:t>
            </w:r>
            <w:r>
              <w:rPr>
                <w:rFonts w:eastAsia="Times New Roman;Times;Serif"/>
                <w:b/>
                <w:sz w:val="20"/>
              </w:rPr>
              <w:t>）</w:t>
            </w:r>
          </w:p>
        </w:tc>
      </w:tr>
      <w:tr>
        <w:trPr/>
        <w:tc>
          <w:tcPr>
            <w:tcW w:w="75" w:type="dxa"/>
            <w:tcBorders/>
            <w:vAlign w:val="center"/>
          </w:tcPr>
          <w:p>
            <w:pPr>
              <w:pStyle w:val="TableContents"/>
              <w:bidi w:val="0"/>
              <w:spacing w:before="0" w:after="283"/>
              <w:jc w:val="both"/>
              <w:rPr/>
            </w:pPr>
            <w:r>
              <w:rPr/>
              <w:t> </w:t>
            </w:r>
          </w:p>
        </w:tc>
        <w:tc>
          <w:tcPr>
            <w:tcW w:w="1670" w:type="dxa"/>
            <w:tcBorders/>
            <w:vAlign w:val="center"/>
          </w:tcPr>
          <w:p>
            <w:pPr>
              <w:pStyle w:val="TableContents"/>
              <w:bidi w:val="0"/>
              <w:spacing w:before="0" w:after="283"/>
              <w:jc w:val="both"/>
              <w:rPr/>
            </w:pPr>
            <w:r>
              <w:rPr/>
              <w:t> </w:t>
            </w:r>
          </w:p>
        </w:tc>
        <w:tc>
          <w:tcPr>
            <w:tcW w:w="48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670" w:type="dxa"/>
            <w:tcBorders/>
            <w:vAlign w:val="center"/>
          </w:tcPr>
          <w:p>
            <w:pPr>
              <w:pStyle w:val="TableContents"/>
              <w:bidi w:val="0"/>
              <w:spacing w:before="0" w:after="283"/>
              <w:jc w:val="both"/>
              <w:rPr/>
            </w:pPr>
            <w:r>
              <w:rPr/>
              <w:t>By:</w:t>
            </w:r>
          </w:p>
        </w:tc>
        <w:tc>
          <w:tcPr>
            <w:tcW w:w="4820" w:type="dxa"/>
            <w:tcBorders>
              <w:bottom w:val="single" w:sz="8" w:space="0" w:color="000000"/>
            </w:tcBorders>
            <w:tcMar>
              <w:bottom w:w="28" w:type="dxa"/>
            </w:tcMar>
            <w:vAlign w:val="center"/>
          </w:tcPr>
          <w:p>
            <w:pPr>
              <w:pStyle w:val="TableContents"/>
              <w:bidi w:val="0"/>
              <w:spacing w:before="0" w:after="283"/>
              <w:jc w:val="both"/>
              <w:rPr/>
            </w:pPr>
            <w:r>
              <w:rPr/>
              <w:t>（签署人）</w:t>
            </w:r>
          </w:p>
        </w:tc>
      </w:tr>
      <w:tr>
        <w:trPr/>
        <w:tc>
          <w:tcPr>
            <w:tcW w:w="75" w:type="dxa"/>
            <w:tcBorders/>
            <w:vAlign w:val="center"/>
          </w:tcPr>
          <w:p>
            <w:pPr>
              <w:pStyle w:val="TableContents"/>
              <w:bidi w:val="0"/>
              <w:spacing w:before="0" w:after="283"/>
              <w:jc w:val="both"/>
              <w:rPr/>
            </w:pPr>
            <w:r>
              <w:rPr/>
              <w:t> </w:t>
            </w:r>
          </w:p>
        </w:tc>
        <w:tc>
          <w:tcPr>
            <w:tcW w:w="1670" w:type="dxa"/>
            <w:tcBorders/>
            <w:vAlign w:val="center"/>
          </w:tcPr>
          <w:p>
            <w:pPr>
              <w:pStyle w:val="TableContents"/>
              <w:bidi w:val="0"/>
              <w:spacing w:before="0" w:after="283"/>
              <w:jc w:val="both"/>
              <w:rPr/>
            </w:pPr>
            <w:r>
              <w:rPr/>
              <w:t>Name</w:t>
            </w:r>
            <w:r>
              <w:rPr/>
              <w:t>（姓名）</w:t>
            </w:r>
            <w:r>
              <w:rPr/>
              <w:t xml:space="preserve">: </w:t>
            </w:r>
          </w:p>
        </w:tc>
        <w:tc>
          <w:tcPr>
            <w:tcW w:w="4820" w:type="dxa"/>
            <w:tcBorders/>
            <w:vAlign w:val="center"/>
          </w:tcPr>
          <w:p>
            <w:pPr>
              <w:pStyle w:val="TableContents"/>
              <w:bidi w:val="0"/>
              <w:spacing w:before="0" w:after="283"/>
              <w:jc w:val="both"/>
              <w:rPr/>
            </w:pPr>
            <w:r>
              <w:rPr/>
              <w:t>Chris Anthony</w:t>
            </w:r>
          </w:p>
        </w:tc>
      </w:tr>
      <w:tr>
        <w:trPr/>
        <w:tc>
          <w:tcPr>
            <w:tcW w:w="75" w:type="dxa"/>
            <w:tcBorders/>
            <w:vAlign w:val="center"/>
          </w:tcPr>
          <w:p>
            <w:pPr>
              <w:pStyle w:val="TableContents"/>
              <w:bidi w:val="0"/>
              <w:spacing w:before="0" w:after="283"/>
              <w:jc w:val="both"/>
              <w:rPr/>
            </w:pPr>
            <w:r>
              <w:rPr/>
              <w:t> </w:t>
            </w:r>
          </w:p>
        </w:tc>
        <w:tc>
          <w:tcPr>
            <w:tcW w:w="1670" w:type="dxa"/>
            <w:tcBorders/>
            <w:vAlign w:val="center"/>
          </w:tcPr>
          <w:p>
            <w:pPr>
              <w:pStyle w:val="TableContents"/>
              <w:bidi w:val="0"/>
              <w:spacing w:before="0" w:after="283"/>
              <w:jc w:val="both"/>
              <w:rPr/>
            </w:pPr>
            <w:r>
              <w:rPr/>
              <w:t>Title</w:t>
            </w:r>
            <w:r>
              <w:rPr/>
              <w:t>（职务）</w:t>
            </w:r>
            <w:r>
              <w:rPr/>
              <w:t xml:space="preserve">: </w:t>
            </w:r>
          </w:p>
        </w:tc>
        <w:tc>
          <w:tcPr>
            <w:tcW w:w="4820" w:type="dxa"/>
            <w:tcBorders/>
            <w:vAlign w:val="center"/>
          </w:tcPr>
          <w:p>
            <w:pPr>
              <w:pStyle w:val="TableContents"/>
              <w:bidi w:val="0"/>
              <w:spacing w:before="0" w:after="283"/>
              <w:jc w:val="both"/>
              <w:rPr/>
            </w:pPr>
            <w:r>
              <w:rPr/>
              <w:t>Co-Chief Executive Officer</w:t>
            </w:r>
            <w:r>
              <w:rPr/>
              <w:t>（联席首席执行官）</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Signature page </w:t>
      </w:r>
      <w:r>
        <w:rPr>
          <w:rFonts w:ascii="Times New Roman;Times;Serif" w:hAnsi="Times New Roman;Times;Serif"/>
          <w:b w:val="false"/>
          <w:i/>
          <w:caps w:val="false"/>
          <w:smallCaps w:val="false"/>
          <w:spacing w:val="-1"/>
          <w:sz w:val="20"/>
        </w:rPr>
        <w:t xml:space="preserve">to </w:t>
      </w:r>
      <w:r>
        <w:rPr>
          <w:rFonts w:ascii="Times New Roman;Times;Serif" w:hAnsi="Times New Roman;Times;Serif"/>
          <w:b w:val="false"/>
          <w:i/>
          <w:caps w:val="false"/>
          <w:smallCaps w:val="false"/>
          <w:spacing w:val="-2"/>
          <w:sz w:val="20"/>
        </w:rPr>
        <w:t>Warrant</w:t>
      </w:r>
      <w:r>
        <w:rPr>
          <w:rFonts w:ascii="Times New Roman;Times;Serif" w:hAnsi="Times New Roman;Times;Serif"/>
          <w:b w:val="false"/>
          <w:i w:val="false"/>
          <w:caps w:val="false"/>
          <w:smallCaps w:val="false"/>
          <w:spacing w:val="-2"/>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right"/>
        <w:rPr>
          <w:caps w:val="false"/>
          <w:smallCaps w:val="false"/>
        </w:rPr>
      </w:pPr>
      <w:r>
        <w:rPr>
          <w:rFonts w:eastAsia="Times New Roman;Times;Serif"/>
          <w:b/>
          <w:i w:val="false"/>
          <w:caps w:val="false"/>
          <w:smallCaps w:val="false"/>
          <w:sz w:val="20"/>
        </w:rPr>
        <w:t>附件</w:t>
      </w:r>
      <w:r>
        <w:rPr>
          <w:rFonts w:ascii="Times New Roman;Times;Serif" w:hAnsi="Times New Roman;Times;Serif"/>
          <w:b/>
          <w:i w:val="false"/>
          <w:caps w:val="false"/>
          <w:smallCaps w:val="false"/>
          <w:sz w:val="20"/>
        </w:rPr>
        <w: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行权通知</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APTERA MOTORS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i w:val="false"/>
          <w:caps w:val="false"/>
          <w:smallCaps w:val="false"/>
          <w:sz w:val="20"/>
        </w:rPr>
        <w:t>致：阿普特拉汽车公司（</w:t>
      </w:r>
      <w:r>
        <w:rPr>
          <w:rFonts w:ascii="Times New Roman;Times;Serif" w:hAnsi="Times New Roman;Times;Serif"/>
          <w:b/>
          <w:i w:val="false"/>
          <w:caps w:val="false"/>
          <w:smallCaps w:val="false"/>
          <w:sz w:val="20"/>
        </w:rPr>
        <w:t>APTERA MOTORS CORP.</w:t>
      </w:r>
      <w:r>
        <w:rPr>
          <w:rFonts w:eastAsia="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elects to purchase _______Warrant Shares of the Company pursuant to the terms of the attached Warrant (only if exercised in full), and tenders herewith payment of the exercise price in full, together with all applicable transfer taxes, if any.</w:t>
            </w:r>
          </w:p>
        </w:tc>
      </w:tr>
    </w:tbl>
    <w:p>
      <w:pPr>
        <w:pStyle w:val="TextBody"/>
        <w:bidi w:val="0"/>
        <w:spacing w:before="0" w:after="0"/>
        <w:ind w:left="0" w:right="0" w:hanging="40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7"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签署人特此选择根据所附认股权证的条款购买公司</w:t>
            </w:r>
            <w:r>
              <w:rPr>
                <w:rFonts w:ascii="Times New Roman;Times;Serif" w:hAnsi="Times New Roman;Times;Serif"/>
                <w:b w:val="false"/>
                <w:i w:val="false"/>
                <w:caps w:val="false"/>
                <w:smallCaps w:val="false"/>
                <w:sz w:val="20"/>
              </w:rPr>
              <w:t>____________</w:t>
            </w:r>
            <w:r>
              <w:rPr>
                <w:rFonts w:eastAsia="Times New Roman;Times;Serif"/>
                <w:b w:val="false"/>
                <w:i w:val="false"/>
                <w:caps w:val="false"/>
                <w:smallCaps w:val="false"/>
                <w:sz w:val="20"/>
              </w:rPr>
              <w:t>股认股权证股份（仅在全部行使的情况下），并随附全额支付的行权价格以及所有适用的转让税（如有）。</w:t>
            </w:r>
          </w:p>
        </w:tc>
      </w:tr>
    </w:tbl>
    <w:p>
      <w:pPr>
        <w:pStyle w:val="TextBody"/>
        <w:bidi w:val="0"/>
        <w:spacing w:before="0" w:after="0"/>
        <w:ind w:left="0" w:right="0" w:hanging="48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245"/>
        <w:gridCol w:w="44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shall take the form of (check applicable box):</w:t>
            </w:r>
          </w:p>
        </w:tc>
      </w:tr>
    </w:tbl>
    <w:p>
      <w:pPr>
        <w:pStyle w:val="TextBody"/>
        <w:bidi w:val="0"/>
        <w:spacing w:before="0" w:after="0"/>
        <w:ind w:left="0" w:right="0" w:hanging="404"/>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60"/>
        <w:gridCol w:w="276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765"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付款方式为（勾选适用选项）：</w:t>
            </w:r>
          </w:p>
        </w:tc>
      </w:tr>
    </w:tbl>
    <w:p>
      <w:pPr>
        <w:pStyle w:val="TextBody"/>
        <w:bidi w:val="0"/>
        <w:spacing w:before="0" w:after="0"/>
        <w:ind w:left="0" w:right="0" w:hanging="48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230"/>
        <w:gridCol w:w="32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lawful money of the United States; or</w:t>
            </w:r>
          </w:p>
        </w:tc>
      </w:tr>
    </w:tbl>
    <w:p>
      <w:pPr>
        <w:pStyle w:val="TextBody"/>
        <w:bidi w:val="0"/>
        <w:spacing w:before="0" w:after="0"/>
        <w:ind w:left="0" w:right="0" w:hanging="222"/>
        <w:jc w:val="both"/>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30"/>
        <w:gridCol w:w="21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180"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以美国法定货币支付；或</w:t>
            </w:r>
          </w:p>
        </w:tc>
      </w:tr>
    </w:tbl>
    <w:p>
      <w:pPr>
        <w:pStyle w:val="TextBody"/>
        <w:bidi w:val="0"/>
        <w:spacing w:before="0" w:after="0"/>
        <w:ind w:left="0" w:right="0" w:hanging="326"/>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tc>
      </w:tr>
    </w:tbl>
    <w:p>
      <w:pPr>
        <w:pStyle w:val="TextBody"/>
        <w:bidi w:val="0"/>
        <w:spacing w:before="0" w:after="0"/>
        <w:ind w:left="0" w:right="0" w:hanging="23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9937"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如获允许，按照第</w:t>
            </w:r>
            <w:r>
              <w:rPr>
                <w:rFonts w:ascii="Times New Roman;Times;Serif" w:hAnsi="Times New Roman;Times;Serif"/>
                <w:b w:val="false"/>
                <w:i w:val="false"/>
                <w:caps w:val="false"/>
                <w:smallCaps w:val="false"/>
                <w:sz w:val="20"/>
              </w:rPr>
              <w:t>2(c)</w:t>
            </w:r>
            <w:r>
              <w:rPr>
                <w:rFonts w:eastAsia="Times New Roman;Times;Serif"/>
                <w:b w:val="false"/>
                <w:i w:val="false"/>
                <w:caps w:val="false"/>
                <w:smallCaps w:val="false"/>
                <w:sz w:val="20"/>
              </w:rPr>
              <w:t>款所载公式注销必要数量的认股权证股份，以按第</w:t>
            </w:r>
            <w:r>
              <w:rPr>
                <w:rFonts w:ascii="Times New Roman;Times;Serif" w:hAnsi="Times New Roman;Times;Serif"/>
                <w:b w:val="false"/>
                <w:i w:val="false"/>
                <w:caps w:val="false"/>
                <w:smallCaps w:val="false"/>
                <w:sz w:val="20"/>
              </w:rPr>
              <w:t>2(c)</w:t>
            </w:r>
            <w:r>
              <w:rPr>
                <w:rFonts w:eastAsia="Times New Roman;Times;Serif"/>
                <w:b w:val="false"/>
                <w:i w:val="false"/>
                <w:caps w:val="false"/>
                <w:smallCaps w:val="false"/>
                <w:sz w:val="20"/>
              </w:rPr>
              <w:t>款所载无现金行权程序就可购买的最大数量认股权证股份行使本认股权证。</w:t>
            </w:r>
          </w:p>
        </w:tc>
      </w:tr>
    </w:tbl>
    <w:p>
      <w:pPr>
        <w:pStyle w:val="TextBody"/>
        <w:bidi w:val="0"/>
        <w:spacing w:before="0" w:after="0"/>
        <w:ind w:left="0" w:right="0" w:hanging="327"/>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245"/>
        <w:gridCol w:w="87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said Warrant Shares in the name of the undersigned or in such other name as is specified below:</w:t>
            </w:r>
          </w:p>
        </w:tc>
      </w:tr>
    </w:tbl>
    <w:p>
      <w:pPr>
        <w:pStyle w:val="TextBody"/>
        <w:bidi w:val="0"/>
        <w:spacing w:before="0" w:after="0"/>
        <w:ind w:left="0" w:right="0" w:hanging="404"/>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60"/>
        <w:gridCol w:w="5885"/>
      </w:tblGrid>
      <w:tr>
        <w:trPr/>
        <w:tc>
          <w:tcPr>
            <w:tcW w:w="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885" w:type="dxa"/>
            <w:tcBorders/>
            <w:vAlign w:val="center"/>
          </w:tcPr>
          <w:p>
            <w:pPr>
              <w:pStyle w:val="TableContents"/>
              <w:bidi w:val="0"/>
              <w:spacing w:before="0" w:after="283"/>
              <w:jc w:val="both"/>
              <w:rPr>
                <w:rFonts w:eastAsia="Times New Roman;Times;Serif"/>
                <w:b w:val="false"/>
                <w:i w:val="false"/>
                <w:caps w:val="false"/>
                <w:smallCaps w:val="false"/>
                <w:sz w:val="20"/>
              </w:rPr>
            </w:pPr>
            <w:r>
              <w:rPr>
                <w:rFonts w:eastAsia="Times New Roman;Times;Serif"/>
                <w:b w:val="false"/>
                <w:i w:val="false"/>
                <w:caps w:val="false"/>
                <w:smallCaps w:val="false"/>
                <w:sz w:val="20"/>
              </w:rPr>
              <w:t>请以签署人的名义或以下列指定的其他名义发行上述认股权证股份：</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认股权证股份应交付至以下</w:t>
      </w:r>
      <w:r>
        <w:rPr>
          <w:rFonts w:ascii="Times New Roman;Times;Serif" w:hAnsi="Times New Roman;Times;Serif"/>
          <w:b w:val="false"/>
          <w:i w:val="false"/>
          <w:caps w:val="false"/>
          <w:smallCaps w:val="false"/>
          <w:sz w:val="20"/>
        </w:rPr>
        <w:t>DWAC</w:t>
      </w:r>
      <w:r>
        <w:rPr>
          <w:rFonts w:eastAsia="Times New Roman;Times;Serif"/>
          <w:b w:val="false"/>
          <w:i w:val="false"/>
          <w:caps w:val="false"/>
          <w:smallCaps w:val="false"/>
          <w:sz w:val="20"/>
        </w:rPr>
        <w:t>账户号码：</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Investment Representations. The undersigned represents that it is not a U.S. person, is not exercising this Warrant or acquiring Warrant Shares for the account or benefit of any U.S. person, is exercising this Warrant in an offshore transaction within the meaning of Regulation S under the Securities Act of 1933, as amended, and will comply with the applicable distribution compliance, hedging, and transfer restrictions of Regulation S, the Agreement, and the attached Warrant.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4" w:type="dxa"/>
            <w:tcBorders/>
            <w:vAlign w:val="center"/>
          </w:tcPr>
          <w:p>
            <w:pPr>
              <w:pStyle w:val="TableContents"/>
              <w:bidi w:val="0"/>
              <w:spacing w:before="0" w:after="283"/>
              <w:jc w:val="both"/>
              <w:rPr>
                <w:caps w:val="false"/>
                <w:smallCaps w:val="false"/>
              </w:rPr>
            </w:pP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条例》；投资声明。签署人声明：其并非美国人士，并非为任何美国人士的账户或利益而行使本认股权证或取得认股权证股份，其系在经修订的《</w:t>
            </w:r>
            <w:r>
              <w:rPr>
                <w:rFonts w:ascii="Times New Roman;Times;Serif" w:hAnsi="Times New Roman;Times;Serif"/>
                <w:b w:val="false"/>
                <w:i w:val="false"/>
                <w:caps w:val="false"/>
                <w:smallCaps w:val="false"/>
                <w:sz w:val="20"/>
              </w:rPr>
              <w:t>1933</w:t>
            </w:r>
            <w:r>
              <w:rPr>
                <w:rFonts w:eastAsia="Times New Roman;Times;Serif"/>
                <w:b w:val="false"/>
                <w:i w:val="false"/>
                <w:caps w:val="false"/>
                <w:smallCaps w:val="false"/>
                <w:sz w:val="20"/>
              </w:rPr>
              <w:t xml:space="preserve">年证券法》项下《 </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条例》所定义的离岸交易中行使本认股权证，并将遵守《</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条例》、该协议及所附认股权证项下适用的分销合规、对冲及转让限制。</w:t>
            </w:r>
          </w:p>
        </w:tc>
      </w:tr>
    </w:tbl>
    <w:p>
      <w:pPr>
        <w:pStyle w:val="TextBody"/>
        <w:bidi w:val="0"/>
        <w:spacing w:before="0" w:after="0"/>
        <w:ind w:left="0" w:right="0" w:hanging="480"/>
        <w:jc w:val="both"/>
        <w:rPr>
          <w:caps w:val="false"/>
          <w:smallCaps w:val="false"/>
        </w:rPr>
      </w:pPr>
      <w:r>
        <w:rPr>
          <w:caps w:val="false"/>
          <w:smallCaps w:val="false"/>
        </w:rPr>
        <w:t> </w:t>
      </w:r>
    </w:p>
    <w:p>
      <w:pPr>
        <w:pStyle w:val="TextBody"/>
        <w:bidi w:val="0"/>
        <w:spacing w:before="0" w:after="0"/>
        <w:ind w:left="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extBody"/>
        <w:bidi w:val="0"/>
        <w:spacing w:before="0" w:after="0"/>
        <w:ind w:left="0" w:right="0" w:hanging="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extBody"/>
        <w:bidi w:val="0"/>
        <w:ind w:left="0" w:right="0" w:hanging="480"/>
        <w:jc w:val="left"/>
        <w:rPr/>
      </w:pPr>
      <w:r>
        <w:rPr/>
        <w:t> </w:t>
      </w:r>
    </w:p>
    <w:tbl>
      <w:tblPr>
        <w:tblW w:w="6725" w:type="dxa"/>
        <w:jc w:val="left"/>
        <w:tblInd w:w="0" w:type="dxa"/>
        <w:tblLayout w:type="fixed"/>
        <w:tblCellMar>
          <w:top w:w="0" w:type="dxa"/>
          <w:left w:w="0" w:type="dxa"/>
          <w:bottom w:w="0" w:type="dxa"/>
          <w:right w:w="0" w:type="dxa"/>
        </w:tblCellMar>
      </w:tblPr>
      <w:tblGrid>
        <w:gridCol w:w="75"/>
        <w:gridCol w:w="6575"/>
        <w:gridCol w:w="75"/>
      </w:tblGrid>
      <w:tr>
        <w:trPr/>
        <w:tc>
          <w:tcPr>
            <w:tcW w:w="75" w:type="dxa"/>
            <w:tcBorders/>
            <w:vAlign w:val="center"/>
          </w:tcPr>
          <w:p>
            <w:pPr>
              <w:pStyle w:val="TableContents"/>
              <w:bidi w:val="0"/>
              <w:spacing w:before="0" w:after="283"/>
              <w:jc w:val="left"/>
              <w:rPr/>
            </w:pPr>
            <w:r>
              <w:rPr/>
              <w:t> </w:t>
            </w:r>
          </w:p>
        </w:tc>
        <w:tc>
          <w:tcPr>
            <w:tcW w:w="6575" w:type="dxa"/>
            <w:tcBorders>
              <w:top w:val="single" w:sz="8" w:space="0" w:color="000000"/>
            </w:tcBorders>
            <w:tcMar>
              <w:top w:w="28" w:type="dxa"/>
            </w:tcMar>
            <w:vAlign w:val="center"/>
          </w:tcPr>
          <w:p>
            <w:pPr>
              <w:pStyle w:val="TableContents"/>
              <w:bidi w:val="0"/>
              <w:spacing w:before="0" w:after="283"/>
              <w:jc w:val="left"/>
              <w:rPr/>
            </w:pPr>
            <w:r>
              <w:rPr/>
              <w:t xml:space="preserve">[SIGNATURE OF HOLDER] </w:t>
            </w:r>
            <w:r>
              <w:rPr/>
              <w:t>【持有人签字】</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rFonts w:ascii="Times New Roman;Times;Serif" w:hAnsi="Times New Roman;Times;Serif"/>
                <w:sz w:val="20"/>
              </w:rPr>
              <w:t>Name of Entity:</w:t>
            </w:r>
            <w:r>
              <w:rPr>
                <w:rFonts w:eastAsia="Times New Roman;Times;Serif"/>
                <w:sz w:val="20"/>
              </w:rPr>
              <w:t>（实体名称）</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rFonts w:ascii="Times New Roman;Times;Serif" w:hAnsi="Times New Roman;Times;Serif"/>
                <w:i/>
                <w:sz w:val="20"/>
              </w:rPr>
              <w:t>Signature of Authorized Signatory of Entity</w:t>
            </w:r>
            <w:r>
              <w:rPr>
                <w:rFonts w:ascii="Times New Roman;Times;Serif" w:hAnsi="Times New Roman;Times;Serif"/>
                <w:sz w:val="20"/>
              </w:rPr>
              <w:t>:</w:t>
            </w:r>
            <w:r>
              <w:rPr>
                <w:rFonts w:eastAsia="Times New Roman;Times;Serif"/>
                <w:sz w:val="20"/>
              </w:rPr>
              <w:t xml:space="preserve">（实体授权签字人签字 </w:t>
            </w: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top w:val="single" w:sz="8" w:space="0" w:color="000000"/>
            </w:tcBorders>
            <w:tcMar>
              <w:top w:w="28" w:type="dxa"/>
            </w:tcMar>
            <w:vAlign w:val="center"/>
          </w:tcPr>
          <w:p>
            <w:pPr>
              <w:pStyle w:val="TableContents"/>
              <w:bidi w:val="0"/>
              <w:spacing w:before="0" w:after="283"/>
              <w:jc w:val="left"/>
              <w:rPr/>
            </w:pPr>
            <w:r>
              <w:rPr>
                <w:rFonts w:ascii="Times New Roman;Times;Serif" w:hAnsi="Times New Roman;Times;Serif"/>
                <w:sz w:val="20"/>
              </w:rPr>
              <w:t>Name of Authorized Signatory:</w:t>
            </w:r>
            <w:r>
              <w:rPr>
                <w:rFonts w:eastAsia="Times New Roman;Times;Serif"/>
                <w:sz w:val="20"/>
              </w:rPr>
              <w:t>（授权签字人姓名）</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Title of Authorized Signatory:</w:t>
            </w:r>
            <w:r>
              <w:rPr/>
              <w:t xml:space="preserve">（授权签字人职务） </w:t>
            </w:r>
            <w:r>
              <w:rPr/>
              <w:t>Date:</w:t>
            </w:r>
            <w:r>
              <w:rPr/>
              <w:t>（日期）</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exercise and election to purchase Warrant Shares of the Company pursuant to the terms of the attached Warrant, and prior to the issuance of the Warrant Shares of the Company to the undersigned, the undersigned also acknowledges and confirms it shall in all cases and at all times comply with the terms of the attached Warrant, including, for greater certainty, the exercise limitations, Beneficial Ownership Limitation, Exchange Cap, Regulation S restrictions and transfer restrictions included in the Agreement and the attached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关于本次行使及选择根据所附认股权证的条款购买公司认股权证股份，且在公司向签署人发行认股权证股份之前，签署人亦确认并同意，其在任何情况下及任何时候均应遵守所附认股权证的条款，为明确起见，包括该协议及所附认股权证中所载的行权限制、实益所有权限制、交易所上限、《</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条例》限制及转让限制。</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right"/>
        <w:rPr>
          <w:caps w:val="false"/>
          <w:smallCaps w:val="false"/>
        </w:rPr>
      </w:pPr>
      <w:r>
        <w:rPr>
          <w:rFonts w:eastAsia="Times New Roman;Times;Serif"/>
          <w:b/>
          <w:i w:val="false"/>
          <w:caps w:val="false"/>
          <w:smallCaps w:val="false"/>
          <w:sz w:val="20"/>
        </w:rPr>
        <w:t>附件</w:t>
      </w:r>
      <w:r>
        <w:rPr>
          <w:rFonts w:ascii="Times New Roman;Times;Serif" w:hAnsi="Times New Roman;Times;Serif"/>
          <w:b/>
          <w:i w:val="false"/>
          <w:caps w:val="false"/>
          <w:smallCaps w:val="false"/>
          <w:sz w:val="20"/>
        </w:rPr>
        <w:t>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转让表格</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caps w:val="false"/>
          <w:smallCaps w:val="false"/>
          <w:sz w:val="20"/>
        </w:rPr>
      </w:pPr>
      <w:r>
        <w:rPr>
          <w:rFonts w:eastAsia="Times New Roman;Times;Serif"/>
          <w:b w:val="false"/>
          <w:i/>
          <w:caps w:val="false"/>
          <w:smallCaps w:val="false"/>
          <w:sz w:val="20"/>
        </w:rPr>
        <w:t>（如需转让前述认股权证，请填写本表格并提供所需资料。请勿使用本表格购买股份。）</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兹因已收到对价，前述认股权证及其所证明的一切权利特此转让予：</w:t>
      </w:r>
    </w:p>
    <w:p>
      <w:pPr>
        <w:pStyle w:val="TextBody"/>
        <w:bidi w:val="0"/>
        <w:spacing w:before="0" w:after="0"/>
        <w:ind w:left="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110"/>
        <w:gridCol w:w="23"/>
        <w:gridCol w:w="60"/>
        <w:gridCol w:w="3395"/>
        <w:gridCol w:w="75"/>
      </w:tblGrid>
      <w:tr>
        <w:trPr/>
        <w:tc>
          <w:tcPr>
            <w:tcW w:w="3110" w:type="dxa"/>
            <w:tcBorders/>
            <w:vAlign w:val="center"/>
          </w:tcPr>
          <w:p>
            <w:pPr>
              <w:pStyle w:val="TableContents"/>
              <w:bidi w:val="0"/>
              <w:spacing w:before="0" w:after="283"/>
              <w:jc w:val="left"/>
              <w:rPr/>
            </w:pPr>
            <w:r>
              <w:rPr/>
              <w:t xml:space="preserve">Name: </w:t>
            </w:r>
            <w:r>
              <w:rPr/>
              <w:t xml:space="preserve">（姓名）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rFonts w:ascii="Times New Roman;Times;Serif" w:hAnsi="Times New Roman;Times;Serif"/>
                <w:sz w:val="20"/>
              </w:rPr>
              <w:t>Address:</w:t>
            </w:r>
            <w:r>
              <w:rPr>
                <w:rFonts w:eastAsia="Times New Roman;Times;Serif"/>
                <w:sz w:val="20"/>
              </w:rPr>
              <w:t>（地址）</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xml:space="preserve">Phone Number: </w:t>
            </w:r>
            <w:r>
              <w:rPr/>
              <w:t xml:space="preserve">（电话号码）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Email Address:</w:t>
            </w:r>
            <w:r>
              <w:rPr/>
              <w:t>（电子邮箱地址）</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899" w:type="dxa"/>
        <w:jc w:val="left"/>
        <w:tblInd w:w="0" w:type="dxa"/>
        <w:tblLayout w:type="fixed"/>
        <w:tblCellMar>
          <w:top w:w="0" w:type="dxa"/>
          <w:left w:w="0" w:type="dxa"/>
          <w:bottom w:w="0" w:type="dxa"/>
          <w:right w:w="0" w:type="dxa"/>
        </w:tblCellMar>
      </w:tblPr>
      <w:tblGrid>
        <w:gridCol w:w="5046"/>
        <w:gridCol w:w="118"/>
        <w:gridCol w:w="60"/>
        <w:gridCol w:w="2600"/>
        <w:gridCol w:w="75"/>
      </w:tblGrid>
      <w:tr>
        <w:trPr/>
        <w:tc>
          <w:tcPr>
            <w:tcW w:w="5164" w:type="dxa"/>
            <w:gridSpan w:val="2"/>
            <w:tcBorders/>
            <w:vAlign w:val="center"/>
          </w:tcPr>
          <w:p>
            <w:pPr>
              <w:pStyle w:val="TableContents"/>
              <w:bidi w:val="0"/>
              <w:spacing w:before="0" w:after="283"/>
              <w:jc w:val="left"/>
              <w:rPr/>
            </w:pPr>
            <w:r>
              <w:rPr/>
              <w:t xml:space="preserve">Dated </w:t>
            </w:r>
            <w:r>
              <w:rPr/>
              <w:t>（日期）</w:t>
            </w:r>
            <w:r>
              <w:rPr/>
              <w:t>: ______________,______________</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5164" w:type="dxa"/>
            <w:gridSpan w:val="2"/>
            <w:tcBorders/>
            <w:vAlign w:val="center"/>
          </w:tcPr>
          <w:p>
            <w:pPr>
              <w:pStyle w:val="TableContents"/>
              <w:bidi w:val="0"/>
              <w:spacing w:before="0" w:after="283"/>
              <w:jc w:val="left"/>
              <w:rPr/>
            </w:pPr>
            <w:r>
              <w:rPr/>
              <w:t xml:space="preserve">Holder’s </w:t>
            </w:r>
            <w:r>
              <w:rPr>
                <w:spacing w:val="-10"/>
              </w:rPr>
              <w:t>: ______________________</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Signature</w:t>
            </w:r>
            <w:r>
              <w:rPr/>
              <w:t>（持有人签字）</w:t>
            </w:r>
          </w:p>
        </w:tc>
        <w:tc>
          <w:tcPr>
            <w:tcW w:w="75" w:type="dxa"/>
            <w:tcBorders/>
            <w:vAlign w:val="center"/>
          </w:tcPr>
          <w:p>
            <w:pPr>
              <w:pStyle w:val="TableContents"/>
              <w:bidi w:val="0"/>
              <w:spacing w:before="0" w:after="283"/>
              <w:jc w:val="left"/>
              <w:rPr/>
            </w:pPr>
            <w:r>
              <w:rPr/>
              <w:t> </w:t>
            </w:r>
          </w:p>
        </w:tc>
      </w:tr>
      <w:tr>
        <w:trPr/>
        <w:tc>
          <w:tcPr>
            <w:tcW w:w="5046" w:type="dxa"/>
            <w:tcBorders/>
            <w:vAlign w:val="center"/>
          </w:tcPr>
          <w:p>
            <w:pPr>
              <w:pStyle w:val="TableContents"/>
              <w:bidi w:val="0"/>
              <w:spacing w:before="0" w:after="283"/>
              <w:jc w:val="left"/>
              <w:rPr/>
            </w:pPr>
            <w:r>
              <w:rPr/>
              <w:t xml:space="preserve">Holder’s </w:t>
            </w:r>
            <w:r>
              <w:rPr>
                <w:spacing w:val="-10"/>
              </w:rPr>
              <w:t>: ______________________</w:t>
            </w:r>
          </w:p>
        </w:tc>
        <w:tc>
          <w:tcPr>
            <w:tcW w:w="1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Address</w:t>
            </w:r>
            <w:r>
              <w:rPr/>
              <w:t>（持有人地址）</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5" w:name="ex10-1.htm"/>
      <w:bookmarkStart w:id="26" w:name="ksex10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eastAsia="Times New Roman;Times;Serif"/>
          <w:b/>
          <w:i w:val="false"/>
          <w:caps w:val="false"/>
          <w:smallCaps w:val="false"/>
          <w:sz w:val="20"/>
        </w:rPr>
      </w:pPr>
      <w:r>
        <w:rPr>
          <w:rFonts w:eastAsia="Times New Roman;Times;Serif"/>
          <w:b/>
          <w:i w:val="false"/>
          <w:caps w:val="false"/>
          <w:smallCaps w:val="false"/>
          <w:sz w:val="20"/>
        </w:rPr>
        <w:t>战略合作协议</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PARTNERSHIP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本战略合作协议（“本协议”）由上海龙创汽车设计股份有限公司（一家依据中华人民共和国法律设立并存续的股份有限公司）（“</w:t>
      </w:r>
      <w:r>
        <w:rPr>
          <w:rFonts w:ascii="Times New Roman;Times;Serif" w:hAnsi="Times New Roman;Times;Serif"/>
          <w:b w:val="false"/>
          <w:i w:val="false"/>
          <w:caps w:val="false"/>
          <w:smallCaps w:val="false"/>
          <w:sz w:val="20"/>
        </w:rPr>
        <w:t>Launch”</w:t>
      </w:r>
      <w:r>
        <w:rPr>
          <w:rFonts w:eastAsia="Times New Roman;Times;Serif"/>
          <w:b w:val="false"/>
          <w:i w:val="false"/>
          <w:caps w:val="false"/>
          <w:smallCaps w:val="false"/>
          <w:sz w:val="20"/>
        </w:rPr>
        <w:t xml:space="preserve">）与 </w:t>
      </w:r>
      <w:r>
        <w:rPr>
          <w:rFonts w:ascii="Times New Roman;Times;Serif" w:hAnsi="Times New Roman;Times;Serif"/>
          <w:b w:val="false"/>
          <w:i w:val="false"/>
          <w:caps w:val="false"/>
          <w:smallCaps w:val="false"/>
          <w:sz w:val="20"/>
        </w:rPr>
        <w:t>Aptera Motors Corp.</w:t>
      </w:r>
      <w:r>
        <w:rPr>
          <w:rFonts w:eastAsia="Times New Roman;Times;Serif"/>
          <w:b w:val="false"/>
          <w:i w:val="false"/>
          <w:caps w:val="false"/>
          <w:smallCaps w:val="false"/>
          <w:sz w:val="20"/>
        </w:rPr>
        <w:t xml:space="preserve">（一家特拉华州公司，其 </w:t>
      </w: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 xml:space="preserve">类普通股在纳斯达克以代码“ </w:t>
      </w:r>
      <w:r>
        <w:rPr>
          <w:rFonts w:ascii="Times New Roman;Times;Serif" w:hAnsi="Times New Roman;Times;Serif"/>
          <w:b w:val="false"/>
          <w:i w:val="false"/>
          <w:caps w:val="false"/>
          <w:smallCaps w:val="false"/>
          <w:sz w:val="20"/>
        </w:rPr>
        <w:t>SEV”</w:t>
      </w:r>
      <w:r>
        <w:rPr>
          <w:rFonts w:eastAsia="Times New Roman;Times;Serif"/>
          <w:b w:val="false"/>
          <w:i w:val="false"/>
          <w:caps w:val="false"/>
          <w:smallCaps w:val="false"/>
          <w:sz w:val="20"/>
        </w:rPr>
        <w:t>交易）（“</w:t>
      </w:r>
      <w:r>
        <w:rPr>
          <w:rFonts w:ascii="Times New Roman;Times;Serif" w:hAnsi="Times New Roman;Times;Serif"/>
          <w:b w:val="false"/>
          <w:i w:val="false"/>
          <w:caps w:val="false"/>
          <w:smallCaps w:val="false"/>
          <w:sz w:val="20"/>
        </w:rPr>
        <w:t>Aptera”</w:t>
      </w:r>
      <w:r>
        <w:rPr>
          <w:rFonts w:eastAsia="Times New Roman;Times;Serif"/>
          <w:b w:val="false"/>
          <w:i w:val="false"/>
          <w:caps w:val="false"/>
          <w:smallCaps w:val="false"/>
          <w:sz w:val="20"/>
        </w:rPr>
        <w:t xml:space="preserve">）于 </w:t>
      </w:r>
      <w:r>
        <w:rPr>
          <w:rFonts w:ascii="Times New Roman;Times;Serif" w:hAnsi="Times New Roman;Times;Serif"/>
          <w:b w:val="false"/>
          <w:i w:val="false"/>
          <w:caps w:val="false"/>
          <w:smallCaps w:val="false"/>
          <w:sz w:val="20"/>
        </w:rPr>
        <w:t xml:space="preserve">2026 </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 xml:space="preserve">8 </w:t>
      </w:r>
      <w:r>
        <w:rPr>
          <w:rFonts w:eastAsia="Times New Roman;Times;Serif"/>
          <w:b w:val="false"/>
          <w:i w:val="false"/>
          <w:caps w:val="false"/>
          <w:smallCaps w:val="false"/>
          <w:sz w:val="20"/>
        </w:rPr>
        <w:t xml:space="preserve">月 </w:t>
      </w:r>
      <w:r>
        <w:rPr>
          <w:rFonts w:ascii="Times New Roman;Times;Serif" w:hAnsi="Times New Roman;Times;Serif"/>
          <w:b w:val="false"/>
          <w:i w:val="false"/>
          <w:caps w:val="false"/>
          <w:smallCaps w:val="false"/>
          <w:sz w:val="20"/>
        </w:rPr>
        <w:t xml:space="preserve">14 </w:t>
      </w:r>
      <w:r>
        <w:rPr>
          <w:rFonts w:eastAsia="Times New Roman;Times;Serif"/>
          <w:b w:val="false"/>
          <w:i w:val="false"/>
          <w:caps w:val="false"/>
          <w:smallCaps w:val="false"/>
          <w:sz w:val="20"/>
        </w:rPr>
        <w:t>日（“生效日”）签订。</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与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各自为“一方”，合称“双方”。</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Strategic Partnership Agreement (this “Agreement”) is made as of </w:t>
      </w:r>
      <w:r>
        <w:rPr>
          <w:rFonts w:ascii="Times New Roman;Times;Serif" w:hAnsi="Times New Roman;Times;Serif"/>
          <w:b/>
          <w:i w:val="false"/>
          <w:caps w:val="false"/>
          <w:smallCaps w:val="false"/>
          <w:sz w:val="20"/>
        </w:rPr>
        <w:t xml:space="preserve">August 14, 2026 </w:t>
      </w:r>
      <w:r>
        <w:rPr>
          <w:rFonts w:ascii="Times New Roman;Times;Serif" w:hAnsi="Times New Roman;Times;Serif"/>
          <w:b w:val="false"/>
          <w:i w:val="false"/>
          <w:caps w:val="false"/>
          <w:smallCaps w:val="false"/>
          <w:sz w:val="20"/>
        </w:rPr>
        <w:t xml:space="preserve">(the “Effective Date”) between </w:t>
      </w:r>
      <w:r>
        <w:rPr>
          <w:rFonts w:ascii="Times New Roman;Times;Serif" w:hAnsi="Times New Roman;Times;Serif"/>
          <w:b/>
          <w:i w:val="false"/>
          <w:caps w:val="false"/>
          <w:smallCaps w:val="false"/>
          <w:sz w:val="20"/>
        </w:rPr>
        <w:t>Shanghai Launch Automotive Technology Co., Ltd.,</w:t>
      </w:r>
      <w:r>
        <w:rPr>
          <w:rFonts w:ascii="Times New Roman;Times;Serif" w:hAnsi="Times New Roman;Times;Serif"/>
          <w:b w:val="false"/>
          <w:i w:val="false"/>
          <w:caps w:val="false"/>
          <w:smallCaps w:val="false"/>
          <w:sz w:val="20"/>
        </w:rPr>
        <w:t xml:space="preserve"> a company limited by shares </w:t>
      </w:r>
      <w:r>
        <w:rPr>
          <w:rFonts w:ascii="Times New Roman;Times;Serif" w:hAnsi="Times New Roman;Times;Serif"/>
          <w:b/>
          <w:i w:val="false"/>
          <w:caps w:val="false"/>
          <w:smallCaps w:val="false"/>
          <w:sz w:val="20"/>
        </w:rPr>
        <w:t>o</w:t>
      </w:r>
      <w:r>
        <w:rPr>
          <w:rFonts w:ascii="Times New Roman;Times;Serif" w:hAnsi="Times New Roman;Times;Serif"/>
          <w:b w:val="false"/>
          <w:i w:val="false"/>
          <w:caps w:val="false"/>
          <w:smallCaps w:val="false"/>
          <w:sz w:val="20"/>
        </w:rPr>
        <w:t xml:space="preserve">rganized and existing under the laws of the People’s Republic of China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“Launch”</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Aptera Motors Corp.</w:t>
      </w:r>
      <w:r>
        <w:rPr>
          <w:rFonts w:ascii="Times New Roman;Times;Serif" w:hAnsi="Times New Roman;Times;Serif"/>
          <w:b w:val="false"/>
          <w:i w:val="false"/>
          <w:caps w:val="false"/>
          <w:smallCaps w:val="false"/>
          <w:sz w:val="20"/>
        </w:rPr>
        <w:t>, a Delaware corporation whose Class B common stock trades on Nasdaq under the symbol “SEV” (“Aptera”). Launch and Aptera are each referred to herein as a “Party” and together as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背景。</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是一家美国的“太阳能电动车” 公司，主做高度流线型、三轮结构的纯电动车，车身集成太阳能电池。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是中国首批独立汽车设计企业之一，具备造型、车身、内外饰、底盘、电器、性能分析、三电及试制等整车 全流程交钥匙研发能力。</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将作为</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的“太阳能电动车”项目的制造与合同工程合作伙伴。双方达成如下协议：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Background. Aptera is an American company in solar electric vehicles. It develops highly streamlined three-wheeled all-electric cars with solar panels integrated into the vehicle body. Launch is among China’ s first independent automotive design companies. It boasts full-process turnkey vehicle development capabilities covering styling, body, interior &amp; exterior trim, chassis, electrical systems, performance analysis, new energy three-electric technology and prototype manufacturing. Launch will act as a manufacturing and contract-engineering partner to Aptera for the “Solar-powered Electric Vehicle” project.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1. </w:t>
      </w:r>
      <w:r>
        <w:rPr>
          <w:rFonts w:eastAsia="Times New Roman;Times;Serif"/>
          <w:b/>
          <w:i w:val="false"/>
          <w:caps w:val="false"/>
          <w:smallCaps w:val="false"/>
          <w:sz w:val="20"/>
        </w:rPr>
        <w:t>服务（</w:t>
      </w:r>
      <w:r>
        <w:rPr>
          <w:rFonts w:ascii="Times New Roman;Times;Serif" w:hAnsi="Times New Roman;Times;Serif"/>
          <w:b/>
          <w:i w:val="false"/>
          <w:caps w:val="false"/>
          <w:smallCaps w:val="false"/>
          <w:sz w:val="20"/>
        </w:rPr>
        <w:t>Services</w:t>
      </w:r>
      <w:r>
        <w:rPr>
          <w:rFonts w:eastAsia="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将执行双方不时签定的“太阳能电动车”项目项下的工作订单（每份为一份“工作订单”）中所述的制造、工程、模具、测试及相关工作（“项目”）。在本协议有效期内，每份工作订单均受本协议以及该工作订单中载明或引用的任何其他条款和条件约束；但是，如本协议条款与工作订单中载明或引用的任何条款相冲突，以本协议条款为准，除非该工作订单明确指明拟变更的本协议具体条款且经双方授权代表签署。工作订单可采用咨询协议、开发协议、制造协议、工作说明书或双方之间签订的其他书面协议的形式。为明确起见，截至生效日，项目的工作订单不包括双方于生效日前签订的某份咨询服务协议及某份技术开发合同。</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will perform the manufacturing, engineering, tooling, testing, and related work described in the work orders entered into by the Parties (each a “Work Order”) from time to time under the “Solar-powered Electric Vehicle” project (the “Project”). Within the validity period of this Agreement, each Work Order shall be governed by this Agreement, as well as any other terms and conditions that are set forth or referenced in such Work Order; provided, however, that if the terms of this Agreement conflict with any of the terms set forth or referenced in a Work Order, the terms of this Agreement will control, unless such Work Order expressly identifies the specific provisions of this Agreement to be varied and is signed by authorized representatives of both Parties. A Work Order may take the form of a consulting agreement, development agreement, manufacturing agreement, statement of work or other written agreement entered into between the Parties. For clarity, as of the Effective Date, the Work Orders for the Project exclude that certain Consulting Services Agreement and that certain Technical Development Contract entered into by the Parties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2. </w:t>
      </w:r>
      <w:r>
        <w:rPr>
          <w:rFonts w:eastAsia="Times New Roman;Times;Serif"/>
          <w:b/>
          <w:i w:val="false"/>
          <w:caps w:val="false"/>
          <w:smallCaps w:val="false"/>
          <w:sz w:val="20"/>
        </w:rPr>
        <w:t>付款（三分之二现金／三分之一认股权证）（</w:t>
      </w:r>
      <w:r>
        <w:rPr>
          <w:rFonts w:ascii="Times New Roman;Times;Serif" w:hAnsi="Times New Roman;Times;Serif"/>
          <w:b/>
          <w:i w:val="false"/>
          <w:caps w:val="false"/>
          <w:smallCaps w:val="false"/>
          <w:sz w:val="20"/>
        </w:rPr>
        <w:t>Payment (2/3 Cash / 1/3 Warrants)</w:t>
      </w:r>
      <w:r>
        <w:rPr>
          <w:rFonts w:eastAsia="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在符合本协议及适用工作订单所载条款和条件的前提下，项目价值最高为人民币 </w:t>
      </w:r>
      <w:r>
        <w:rPr>
          <w:rFonts w:ascii="Times New Roman;Times;Serif" w:hAnsi="Times New Roman;Times;Serif"/>
          <w:b w:val="false"/>
          <w:i w:val="false"/>
          <w:caps w:val="false"/>
          <w:smallCaps w:val="false"/>
          <w:sz w:val="20"/>
        </w:rPr>
        <w:t xml:space="preserve">300,000,000 </w:t>
      </w:r>
      <w:r>
        <w:rPr>
          <w:rFonts w:eastAsia="Times New Roman;Times;Serif"/>
          <w:b w:val="false"/>
          <w:i w:val="false"/>
          <w:caps w:val="false"/>
          <w:smallCaps w:val="false"/>
          <w:sz w:val="20"/>
        </w:rPr>
        <w:t>元。</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应就其在各工作订单项下提供的服务向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开具发票；对于生效日或之后开具且经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批准的每张发票，</w:t>
      </w:r>
      <w:r>
        <w:rPr>
          <w:rFonts w:ascii="Times New Roman;Times;Serif" w:hAnsi="Times New Roman;Times;Serif"/>
          <w:b w:val="false"/>
          <w:i w:val="false"/>
          <w:caps w:val="false"/>
          <w:smallCaps w:val="false"/>
          <w:sz w:val="20"/>
        </w:rPr>
        <w:t>Aptera</w:t>
      </w:r>
      <w:r>
        <w:rPr>
          <w:rFonts w:eastAsia="Times New Roman;Times;Serif"/>
          <w:b w:val="false"/>
          <w:i w:val="false"/>
          <w:caps w:val="false"/>
          <w:smallCaps w:val="false"/>
          <w:sz w:val="20"/>
        </w:rPr>
        <w:t>应首先以现金支付该发票金额的三分之二（</w:t>
      </w:r>
      <w:r>
        <w:rPr>
          <w:rFonts w:ascii="Times New Roman;Times;Serif" w:hAnsi="Times New Roman;Times;Serif"/>
          <w:b w:val="false"/>
          <w:i w:val="false"/>
          <w:caps w:val="false"/>
          <w:smallCaps w:val="false"/>
          <w:sz w:val="20"/>
        </w:rPr>
        <w:t>2/3</w:t>
      </w:r>
      <w:r>
        <w:rPr>
          <w:rFonts w:eastAsia="Times New Roman;Times;Serif"/>
          <w:b w:val="false"/>
          <w:i w:val="false"/>
          <w:caps w:val="false"/>
          <w:smallCaps w:val="false"/>
          <w:sz w:val="20"/>
        </w:rPr>
        <w:t xml:space="preserve">）（就项目全部经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批准的发票合计最高人民币 </w:t>
      </w:r>
      <w:r>
        <w:rPr>
          <w:rFonts w:ascii="Times New Roman;Times;Serif" w:hAnsi="Times New Roman;Times;Serif"/>
          <w:b w:val="false"/>
          <w:i w:val="false"/>
          <w:caps w:val="false"/>
          <w:smallCaps w:val="false"/>
          <w:sz w:val="20"/>
        </w:rPr>
        <w:t>200,000,000</w:t>
      </w:r>
      <w:r>
        <w:rPr>
          <w:rFonts w:eastAsia="Times New Roman;Times;Serif"/>
          <w:b w:val="false"/>
          <w:i w:val="false"/>
          <w:caps w:val="false"/>
          <w:smallCaps w:val="false"/>
          <w:sz w:val="20"/>
        </w:rPr>
        <w:t xml:space="preserve">元）（“现金上限”），然后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应以认股权证形式收取该发票金额的其余三分之一（</w:t>
      </w:r>
      <w:r>
        <w:rPr>
          <w:rFonts w:ascii="Times New Roman;Times;Serif" w:hAnsi="Times New Roman;Times;Serif"/>
          <w:b w:val="false"/>
          <w:i w:val="false"/>
          <w:caps w:val="false"/>
          <w:smallCaps w:val="false"/>
          <w:sz w:val="20"/>
        </w:rPr>
        <w:t>1/3</w:t>
      </w:r>
      <w:r>
        <w:rPr>
          <w:rFonts w:eastAsia="Times New Roman;Times;Serif"/>
          <w:b w:val="false"/>
          <w:i w:val="false"/>
          <w:caps w:val="false"/>
          <w:smallCaps w:val="false"/>
          <w:sz w:val="20"/>
        </w:rPr>
        <w:t xml:space="preserve">）（就项目全部经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批准的发票合计最高人民币 </w:t>
      </w:r>
      <w:r>
        <w:rPr>
          <w:rFonts w:ascii="Times New Roman;Times;Serif" w:hAnsi="Times New Roman;Times;Serif"/>
          <w:b w:val="false"/>
          <w:i w:val="false"/>
          <w:caps w:val="false"/>
          <w:smallCaps w:val="false"/>
          <w:sz w:val="20"/>
        </w:rPr>
        <w:t xml:space="preserve">100,000,000 </w:t>
      </w:r>
      <w:r>
        <w:rPr>
          <w:rFonts w:eastAsia="Times New Roman;Times;Serif"/>
          <w:b w:val="false"/>
          <w:i w:val="false"/>
          <w:caps w:val="false"/>
          <w:smallCaps w:val="false"/>
          <w:sz w:val="20"/>
        </w:rPr>
        <w:t xml:space="preserve">元）（“认股权证上限”）。为明确起见，签约认股权证（定义见第 </w:t>
      </w:r>
      <w:r>
        <w:rPr>
          <w:rFonts w:ascii="Times New Roman;Times;Serif" w:hAnsi="Times New Roman;Times;Serif"/>
          <w:b w:val="false"/>
          <w:i w:val="false"/>
          <w:caps w:val="false"/>
          <w:smallCaps w:val="false"/>
          <w:sz w:val="20"/>
        </w:rPr>
        <w:t xml:space="preserve">3(a) </w:t>
      </w:r>
      <w:r>
        <w:rPr>
          <w:rFonts w:eastAsia="Times New Roman;Times;Serif"/>
          <w:b w:val="false"/>
          <w:i w:val="false"/>
          <w:caps w:val="false"/>
          <w:smallCaps w:val="false"/>
          <w:sz w:val="20"/>
        </w:rPr>
        <w:t>条）计入认股权证上限，并非在认股权证上限之外另行发行。若双方书面同意需以现金购买外部设备或</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 xml:space="preserve">资产（例如电池生产线），则同样适用 </w:t>
      </w:r>
      <w:r>
        <w:rPr>
          <w:rFonts w:ascii="Times New Roman;Times;Serif" w:hAnsi="Times New Roman;Times;Serif"/>
          <w:b w:val="false"/>
          <w:i w:val="false"/>
          <w:caps w:val="false"/>
          <w:smallCaps w:val="false"/>
          <w:sz w:val="20"/>
        </w:rPr>
        <w:t xml:space="preserve">2/3–1/3 </w:t>
      </w:r>
      <w:r>
        <w:rPr>
          <w:rFonts w:eastAsia="Times New Roman;Times;Serif"/>
          <w:b w:val="false"/>
          <w:i w:val="false"/>
          <w:caps w:val="false"/>
          <w:smallCaps w:val="false"/>
          <w:sz w:val="20"/>
        </w:rPr>
        <w:t xml:space="preserve">的比例，即由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以现金支付三分之二（</w:t>
      </w:r>
      <w:r>
        <w:rPr>
          <w:rFonts w:ascii="Times New Roman;Times;Serif" w:hAnsi="Times New Roman;Times;Serif"/>
          <w:b w:val="false"/>
          <w:i w:val="false"/>
          <w:caps w:val="false"/>
          <w:smallCaps w:val="false"/>
          <w:sz w:val="20"/>
        </w:rPr>
        <w:t>2/3</w:t>
      </w:r>
      <w:r>
        <w:rPr>
          <w:rFonts w:eastAsia="Times New Roman;Times;Serif"/>
          <w:b w:val="false"/>
          <w:i w:val="false"/>
          <w:caps w:val="false"/>
          <w:smallCaps w:val="false"/>
          <w:sz w:val="20"/>
        </w:rPr>
        <w:t>），以认股权证形式发行三分之一（</w:t>
      </w:r>
      <w:r>
        <w:rPr>
          <w:rFonts w:ascii="Times New Roman;Times;Serif" w:hAnsi="Times New Roman;Times;Serif"/>
          <w:b w:val="false"/>
          <w:i w:val="false"/>
          <w:caps w:val="false"/>
          <w:smallCaps w:val="false"/>
          <w:sz w:val="20"/>
        </w:rPr>
        <w:t>1/3</w:t>
      </w:r>
      <w:r>
        <w:rPr>
          <w:rFonts w:eastAsia="Times New Roman;Times;Serif"/>
          <w:b w:val="false"/>
          <w:i w:val="false"/>
          <w:caps w:val="false"/>
          <w:smallCaps w:val="false"/>
          <w:sz w:val="20"/>
        </w:rPr>
        <w:t xml:space="preserve">）。为免疑义，除本协议第 </w:t>
      </w:r>
      <w:r>
        <w:rPr>
          <w:rFonts w:ascii="Times New Roman;Times;Serif" w:hAnsi="Times New Roman;Times;Serif"/>
          <w:b w:val="false"/>
          <w:i w:val="false"/>
          <w:caps w:val="false"/>
          <w:smallCaps w:val="false"/>
          <w:sz w:val="20"/>
        </w:rPr>
        <w:t xml:space="preserve">1 </w:t>
      </w:r>
      <w:r>
        <w:rPr>
          <w:rFonts w:eastAsia="Times New Roman;Times;Serif"/>
          <w:b w:val="false"/>
          <w:i w:val="false"/>
          <w:caps w:val="false"/>
          <w:smallCaps w:val="false"/>
          <w:sz w:val="20"/>
        </w:rPr>
        <w:t xml:space="preserve">条约定的“生效日前签订的某份咨询服务协议及某份技术开发合同”项下的发票外，本协议仅适用于生效日或之后开具的发票；生效日前开具的发票仍按相关工作订单以现金形式支付，不适用本协议（包括但不限于本第 </w:t>
      </w:r>
      <w:r>
        <w:rPr>
          <w:rFonts w:ascii="Times New Roman;Times;Serif" w:hAnsi="Times New Roman;Times;Serif"/>
          <w:b w:val="false"/>
          <w:i w:val="false"/>
          <w:caps w:val="false"/>
          <w:smallCaps w:val="false"/>
          <w:sz w:val="20"/>
        </w:rPr>
        <w:t xml:space="preserve">2 </w:t>
      </w:r>
      <w:r>
        <w:rPr>
          <w:rFonts w:eastAsia="Times New Roman;Times;Serif"/>
          <w:b w:val="false"/>
          <w:i w:val="false"/>
          <w:caps w:val="false"/>
          <w:smallCaps w:val="false"/>
          <w:sz w:val="20"/>
        </w:rPr>
        <w:t xml:space="preserve">条所述的 </w:t>
      </w:r>
      <w:r>
        <w:rPr>
          <w:rFonts w:ascii="Times New Roman;Times;Serif" w:hAnsi="Times New Roman;Times;Serif"/>
          <w:b w:val="false"/>
          <w:i w:val="false"/>
          <w:caps w:val="false"/>
          <w:smallCaps w:val="false"/>
          <w:sz w:val="20"/>
        </w:rPr>
        <w:t xml:space="preserve">2/3–1/3 </w:t>
      </w:r>
      <w:r>
        <w:rPr>
          <w:rFonts w:eastAsia="Times New Roman;Times;Serif"/>
          <w:b w:val="false"/>
          <w:i w:val="false"/>
          <w:caps w:val="false"/>
          <w:smallCaps w:val="false"/>
          <w:sz w:val="20"/>
        </w:rPr>
        <w:t xml:space="preserve">比例），亦不计入本第 </w:t>
      </w:r>
      <w:r>
        <w:rPr>
          <w:rFonts w:ascii="Times New Roman;Times;Serif" w:hAnsi="Times New Roman;Times;Serif"/>
          <w:b w:val="false"/>
          <w:i w:val="false"/>
          <w:caps w:val="false"/>
          <w:smallCaps w:val="false"/>
          <w:sz w:val="20"/>
        </w:rPr>
        <w:t xml:space="preserve">2 </w:t>
      </w:r>
      <w:r>
        <w:rPr>
          <w:rFonts w:eastAsia="Times New Roman;Times;Serif"/>
          <w:b w:val="false"/>
          <w:i w:val="false"/>
          <w:caps w:val="false"/>
          <w:smallCaps w:val="false"/>
          <w:sz w:val="20"/>
        </w:rPr>
        <w:t>条规定的现金上限或认股权证上限。</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and in the applicable Work Orders, the Project is valued at up to RMB 300,000,000. Launch shall invoice Aptera for the services it performs under each Work Order, and for each invoice issued on or after the Effective Date and approved by Aptera, Aptera shall first satisfy two-thirds (2/3) in cash of the amount of such invoice (up to RMB 200,000,000 in the aggregate for all invoices approved by Aptera with respect to the Project (the “Cash Cap”)) and thereafter Launch shall receive the remaining one-third (1/3) of the amount of such invoice (up to RMB 100,000,000 in the aggregate for all invoices approved by Aptera with respect to the Project (the “Warrant Cap”)) — in Warrants. For clarity, the Initial Warrants (as defined in Section 3(a)) shall be credited toward, and shall not be in addition to, the Warrant Cap. If the Parties mutually agree in writing that cash is needed for outside equipment or assets (for example, a battery production line), the same 2/3–1/3 split shall apply, with Aptera paying two-thirds (2/3) in cash and issuing Warrants to Launch for one-third (1/3). For the avoidance of doubt, save for invoices under “that certain Consulting Services Agreement and that certain Technical Development Contract entered into by the Parties prior to the Effective Date” as stipulated in Section 1 of this Agreement, this Agreement applies only to invoices issued on or after the Effective Date; invoices issued prior to the Effective Date shall remain payable in cash in accordance with the applicable Work Order and shall not be subject to this Agreement, including, without limitation the 2/3–1/3 split described in this Section 2 or be applied toward the Cash Cap or Warrant Cap set forth in this Section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3. </w:t>
      </w:r>
      <w:r>
        <w:rPr>
          <w:rFonts w:eastAsia="Times New Roman;Times;Serif"/>
          <w:b/>
          <w:i w:val="false"/>
          <w:caps w:val="false"/>
          <w:smallCaps w:val="false"/>
          <w:sz w:val="20"/>
        </w:rPr>
        <w:t>认股权证（</w:t>
      </w:r>
      <w:r>
        <w:rPr>
          <w:rFonts w:ascii="Times New Roman;Times;Serif" w:hAnsi="Times New Roman;Times;Serif"/>
          <w:b/>
          <w:i w:val="false"/>
          <w:caps w:val="false"/>
          <w:smallCaps w:val="false"/>
          <w:sz w:val="20"/>
        </w:rPr>
        <w:t>Warrants</w:t>
      </w:r>
      <w:r>
        <w:rPr>
          <w:rFonts w:eastAsia="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签约授予。于生效日，</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将向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发行可购买 </w:t>
      </w:r>
      <w:r>
        <w:rPr>
          <w:rFonts w:ascii="Times New Roman;Times;Serif" w:hAnsi="Times New Roman;Times;Serif"/>
          <w:b w:val="false"/>
          <w:i w:val="false"/>
          <w:caps w:val="false"/>
          <w:smallCaps w:val="false"/>
          <w:sz w:val="20"/>
        </w:rPr>
        <w:t xml:space="preserve">3,369,629 </w:t>
      </w:r>
      <w:r>
        <w:rPr>
          <w:rFonts w:eastAsia="Times New Roman;Times;Serif"/>
          <w:b w:val="false"/>
          <w:i w:val="false"/>
          <w:caps w:val="false"/>
          <w:smallCaps w:val="false"/>
          <w:sz w:val="20"/>
        </w:rPr>
        <w:t xml:space="preserve">股 </w:t>
      </w:r>
      <w:r>
        <w:rPr>
          <w:rFonts w:ascii="Times New Roman;Times;Serif" w:hAnsi="Times New Roman;Times;Serif"/>
          <w:b w:val="false"/>
          <w:i w:val="false"/>
          <w:caps w:val="false"/>
          <w:smallCaps w:val="false"/>
          <w:sz w:val="20"/>
        </w:rPr>
        <w:t xml:space="preserve">Aptera B </w:t>
      </w:r>
      <w:r>
        <w:rPr>
          <w:rFonts w:eastAsia="Times New Roman;Times;Serif"/>
          <w:b w:val="false"/>
          <w:i w:val="false"/>
          <w:caps w:val="false"/>
          <w:smallCaps w:val="false"/>
          <w:sz w:val="20"/>
        </w:rPr>
        <w:t>类普通股（“</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股份”）、价值人民币 </w:t>
      </w:r>
      <w:r>
        <w:rPr>
          <w:rFonts w:ascii="Times New Roman;Times;Serif" w:hAnsi="Times New Roman;Times;Serif"/>
          <w:b w:val="false"/>
          <w:i w:val="false"/>
          <w:caps w:val="false"/>
          <w:smallCaps w:val="false"/>
          <w:sz w:val="20"/>
        </w:rPr>
        <w:t xml:space="preserve">50,000,000 </w:t>
      </w:r>
      <w:r>
        <w:rPr>
          <w:rFonts w:eastAsia="Times New Roman;Times;Serif"/>
          <w:b w:val="false"/>
          <w:i w:val="false"/>
          <w:caps w:val="false"/>
          <w:smallCaps w:val="false"/>
          <w:sz w:val="20"/>
        </w:rPr>
        <w:t xml:space="preserve">元的认股权证（“签约认股权证”）。签约认股权证构成本协议项下可发行认股权证总 额人民币 </w:t>
      </w:r>
      <w:r>
        <w:rPr>
          <w:rFonts w:ascii="Times New Roman;Times;Serif" w:hAnsi="Times New Roman;Times;Serif"/>
          <w:b w:val="false"/>
          <w:i w:val="false"/>
          <w:caps w:val="false"/>
          <w:smallCaps w:val="false"/>
          <w:sz w:val="20"/>
        </w:rPr>
        <w:t xml:space="preserve">100,000,000 </w:t>
      </w:r>
      <w:r>
        <w:rPr>
          <w:rFonts w:eastAsia="Times New Roman;Times;Serif"/>
          <w:b w:val="false"/>
          <w:i w:val="false"/>
          <w:caps w:val="false"/>
          <w:smallCaps w:val="false"/>
          <w:sz w:val="20"/>
        </w:rPr>
        <w:t xml:space="preserve">元中的首笔人民币 </w:t>
      </w:r>
      <w:r>
        <w:rPr>
          <w:rFonts w:ascii="Times New Roman;Times;Serif" w:hAnsi="Times New Roman;Times;Serif"/>
          <w:b w:val="false"/>
          <w:i w:val="false"/>
          <w:caps w:val="false"/>
          <w:smallCaps w:val="false"/>
          <w:sz w:val="20"/>
        </w:rPr>
        <w:t xml:space="preserve">50,000,000 </w:t>
      </w:r>
      <w:r>
        <w:rPr>
          <w:rFonts w:eastAsia="Times New Roman;Times;Serif"/>
          <w:b w:val="false"/>
          <w:i w:val="false"/>
          <w:caps w:val="false"/>
          <w:smallCaps w:val="false"/>
          <w:sz w:val="20"/>
        </w:rPr>
        <w:t xml:space="preserve">元，并非在认股权证上限之外另行发行。签约认股权证应根据本协议及本协议附件 </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所附认股权证格式所载条款和条件成为可行使的股权权证。自生效日起，</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通过持有签约认股权证成为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的股权合作伙伴。</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每次批准受本协议约束的发票后，应向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发出书面通知，该通知应载明就该已批准发票的三分之一予以冲抵的签约认股权证项下可行使的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股份数量，以及届时签约认股权证项下可行使的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股份总数。尽管第 </w:t>
      </w:r>
      <w:r>
        <w:rPr>
          <w:rFonts w:ascii="Times New Roman;Times;Serif" w:hAnsi="Times New Roman;Times;Serif"/>
          <w:b w:val="false"/>
          <w:i w:val="false"/>
          <w:caps w:val="false"/>
          <w:smallCaps w:val="false"/>
          <w:sz w:val="20"/>
        </w:rPr>
        <w:t xml:space="preserve">4 </w:t>
      </w:r>
      <w:r>
        <w:rPr>
          <w:rFonts w:eastAsia="Times New Roman;Times;Serif"/>
          <w:b w:val="false"/>
          <w:i w:val="false"/>
          <w:caps w:val="false"/>
          <w:smallCaps w:val="false"/>
          <w:sz w:val="20"/>
        </w:rPr>
        <w:t xml:space="preserve">条有任何相反规定，截至本协议终止或期满时尚未成为可行使以购买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股份的签约认股权证部分应自动且永久作废并注销。</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可在签约认股权证发行之前或之后的任何时间，无需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同意，修改、修订或替换本协议附件 </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所附认股权证格式，但任何将对持有人权利产生不利影响的修改、修订或替换，须经</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事先书面同意后方可适用。为免疑义，所授予的认股权证将用于购买已知且固定数量的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股份，其行权价在该等认股权证发行之前以及将以认股权证支付的工作订单开始之前即已固定且已知。签约认股权证用于购买 </w:t>
      </w:r>
      <w:r>
        <w:rPr>
          <w:rFonts w:ascii="Times New Roman;Times;Serif" w:hAnsi="Times New Roman;Times;Serif"/>
          <w:b w:val="false"/>
          <w:i w:val="false"/>
          <w:caps w:val="false"/>
          <w:smallCaps w:val="false"/>
          <w:sz w:val="20"/>
        </w:rPr>
        <w:t xml:space="preserve">3,369,629 </w:t>
      </w:r>
      <w:r>
        <w:rPr>
          <w:rFonts w:eastAsia="Times New Roman;Times;Serif"/>
          <w:b w:val="false"/>
          <w:i w:val="false"/>
          <w:caps w:val="false"/>
          <w:smallCaps w:val="false"/>
          <w:sz w:val="20"/>
        </w:rPr>
        <w:t xml:space="preserve">股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股份，行权价为 </w:t>
      </w:r>
      <w:r>
        <w:rPr>
          <w:rFonts w:ascii="Times New Roman;Times;Serif" w:hAnsi="Times New Roman;Times;Serif"/>
          <w:b w:val="false"/>
          <w:i w:val="false"/>
          <w:caps w:val="false"/>
          <w:smallCaps w:val="false"/>
          <w:sz w:val="20"/>
        </w:rPr>
        <w:t xml:space="preserve">2.20 </w:t>
      </w:r>
      <w:r>
        <w:rPr>
          <w:rFonts w:eastAsia="Times New Roman;Times;Serif"/>
          <w:b w:val="false"/>
          <w:i w:val="false"/>
          <w:caps w:val="false"/>
          <w:smallCaps w:val="false"/>
          <w:sz w:val="20"/>
        </w:rPr>
        <w:t xml:space="preserve">美元，对应本协议项下可发行认股权证总额人民币 </w:t>
      </w:r>
      <w:r>
        <w:rPr>
          <w:rFonts w:ascii="Times New Roman;Times;Serif" w:hAnsi="Times New Roman;Times;Serif"/>
          <w:b w:val="false"/>
          <w:i w:val="false"/>
          <w:caps w:val="false"/>
          <w:smallCaps w:val="false"/>
          <w:sz w:val="20"/>
        </w:rPr>
        <w:t xml:space="preserve">100,000,000 </w:t>
      </w:r>
      <w:r>
        <w:rPr>
          <w:rFonts w:eastAsia="Times New Roman;Times;Serif"/>
          <w:b w:val="false"/>
          <w:i w:val="false"/>
          <w:caps w:val="false"/>
          <w:smallCaps w:val="false"/>
          <w:sz w:val="20"/>
        </w:rPr>
        <w:t xml:space="preserve">元中的首笔人民币 </w:t>
      </w:r>
      <w:r>
        <w:rPr>
          <w:rFonts w:ascii="Times New Roman;Times;Serif" w:hAnsi="Times New Roman;Times;Serif"/>
          <w:b w:val="false"/>
          <w:i w:val="false"/>
          <w:caps w:val="false"/>
          <w:smallCaps w:val="false"/>
          <w:sz w:val="20"/>
        </w:rPr>
        <w:t xml:space="preserve">50,000,000 </w:t>
      </w:r>
      <w:r>
        <w:rPr>
          <w:rFonts w:eastAsia="Times New Roman;Times;Serif"/>
          <w:b w:val="false"/>
          <w:i w:val="false"/>
          <w:caps w:val="false"/>
          <w:smallCaps w:val="false"/>
          <w:sz w:val="20"/>
        </w:rPr>
        <w:t xml:space="preserve">元（“首期批次”）。如因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原因，使得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无法取得或行使认股权证或获得股权的，</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应当就对应部分进行现金补足，即以现金向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支付相关经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批准发票中原应通过认股权证冲抵、但因前述事由导致</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未能取得或行使的部分所对应的人民币金额（扣除此前已以现金支付或已通过成为可行使的认股权证冲抵的部分），并应在收到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书面付款要求后三十（</w:t>
      </w:r>
      <w:r>
        <w:rPr>
          <w:rFonts w:ascii="Times New Roman;Times;Serif" w:hAnsi="Times New Roman;Times;Serif"/>
          <w:b w:val="false"/>
          <w:i w:val="false"/>
          <w:caps w:val="false"/>
          <w:smallCaps w:val="false"/>
          <w:sz w:val="20"/>
        </w:rPr>
        <w:t>30</w:t>
      </w:r>
      <w:r>
        <w:rPr>
          <w:rFonts w:eastAsia="Times New Roman;Times;Serif"/>
          <w:b w:val="false"/>
          <w:i w:val="false"/>
          <w:caps w:val="false"/>
          <w:smallCaps w:val="false"/>
          <w:sz w:val="20"/>
        </w:rPr>
        <w:t xml:space="preserve">）日内支付；因第 </w:t>
      </w:r>
      <w:r>
        <w:rPr>
          <w:rFonts w:ascii="Times New Roman;Times;Serif" w:hAnsi="Times New Roman;Times;Serif"/>
          <w:b w:val="false"/>
          <w:i w:val="false"/>
          <w:caps w:val="false"/>
          <w:smallCaps w:val="false"/>
          <w:sz w:val="20"/>
        </w:rPr>
        <w:t>3(d)</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3(e)</w:t>
      </w:r>
      <w:r>
        <w:rPr>
          <w:rFonts w:eastAsia="Times New Roman;Times;Serif"/>
          <w:b w:val="false"/>
          <w:i w:val="false"/>
          <w:caps w:val="false"/>
          <w:smallCaps w:val="false"/>
          <w:sz w:val="20"/>
        </w:rPr>
        <w:t xml:space="preserve">或 </w:t>
      </w:r>
      <w:r>
        <w:rPr>
          <w:rFonts w:ascii="Times New Roman;Times;Serif" w:hAnsi="Times New Roman;Times;Serif"/>
          <w:b w:val="false"/>
          <w:i w:val="false"/>
          <w:caps w:val="false"/>
          <w:smallCaps w:val="false"/>
          <w:sz w:val="20"/>
        </w:rPr>
        <w:t>3(f)</w:t>
      </w:r>
      <w:r>
        <w:rPr>
          <w:rFonts w:eastAsia="Times New Roman;Times;Serif"/>
          <w:b w:val="false"/>
          <w:i w:val="false"/>
          <w:caps w:val="false"/>
          <w:smallCaps w:val="false"/>
          <w:sz w:val="20"/>
        </w:rPr>
        <w:t xml:space="preserve">条所述限制或相关法律法规或监管要求导致无法取得或行使的，适用第 </w:t>
      </w:r>
      <w:r>
        <w:rPr>
          <w:rFonts w:ascii="Times New Roman;Times;Serif" w:hAnsi="Times New Roman;Times;Serif"/>
          <w:b w:val="false"/>
          <w:i w:val="false"/>
          <w:caps w:val="false"/>
          <w:smallCaps w:val="false"/>
          <w:sz w:val="20"/>
        </w:rPr>
        <w:t>3(h)</w:t>
      </w:r>
      <w:r>
        <w:rPr>
          <w:rFonts w:eastAsia="Times New Roman;Times;Serif"/>
          <w:b w:val="false"/>
          <w:i w:val="false"/>
          <w:caps w:val="false"/>
          <w:smallCaps w:val="false"/>
          <w:sz w:val="20"/>
        </w:rPr>
        <w:t>条（不可抗力）。</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Signing grant</w:t>
      </w:r>
      <w:r>
        <w:rPr>
          <w:rFonts w:ascii="Times New Roman;Times;Serif" w:hAnsi="Times New Roman;Times;Serif"/>
          <w:b w:val="false"/>
          <w:i w:val="false"/>
          <w:caps w:val="false"/>
          <w:smallCaps w:val="false"/>
          <w:sz w:val="20"/>
        </w:rPr>
        <w:t xml:space="preserve">. On the Effective Date, Aptera will issue to Launch Warrants to purchase 3,369,629 shares of Class B common stock of Aptera (“SEV Shares”) worth RMB 50,000,000 (the “Initial Warrants”). The Initial Warrants constitute the first RMB 50,000,000 of the aggregate RMB 100,000,000 in Warrants issuable under this Agreement and are not in addition to the Warrant Cap. The Initial Warrants shall become exercisable in accordance with the terms and conditions set forth in this Agreement and in the form of Warrant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From the Effective Date, Launch is an equity partner in Aptera through its ownership of the Initial Warrants. Upon each approval by Aptera of an invoice subject to this Agreement, Aptera shall provide written notice thereof to Launch which notice shall include the number of SEV Shares exercisable under the Initial Warrant to be credited against one-third of such approved invoice and the total number of SEV Shares then exercisable under the Initial Warrant. Notwithstanding anything to the contrary in Section 4, any portion of the Initial Warrants that has not become exercisable to purchase SEV Shares as of the termination or expiration of this Agreement shall be automatically and permanently forfeited and cancelled. Aptera may, at any time before or after issuance of the Initial Warrants, and without the consent of Launch, modify, amend or replace the form of Warrant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provided that no such modification, amendment or replacement shall have an adverse effect on the rights of the holder without the prior written consent of Launch. For the avoidance of doubt, Warrants granted will be for the purchase of a known and fixed number of SEV Shares at a fixed and known Exercise Price prior to issuance of such Warrants and prior to commencement of work orders that will be satisfied through Warrants. The Initial Warrants are for the purchase of 3,369,629 SEV Shares at an Exercise Price of $2.20 for the initial RMB 50,000,000 of the aggregate RMB 100,000,000 in Warrants issuable under this Agreement (the “Initial Tranche”). In any event that Launch is unable to obtain or exercise the Warrants or acquire SEV Shares due to reasons attributable to Aptera, Aptera shall satisfy the corresponding amount (the unobtainable or unexercisable part) in cash, where the “corresponding amount” means the RMB amount of the portion of the applicable Aptera-approved invoice(s) that was to be satisfied through Warrants but that Launch was unable to obtain or exercise as a result of such reasons (less any portion previously satisfied in cash or through Warrants that became exercisable), payable within thirty (30) days after Launch’s written demand; any inability to obtain or exercise arising from the limitations in Sections 3(d), 3(e) or 3(f) or from applicable laws, regulations or regulatory requirements shall be governed by Section 3(h) (Force Majeure).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 xml:space="preserve">持续发行。签约认股权证应成为可行使，并应冲抵及支付经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批准的每张发票的三分之一，直至签约认股权证全部成为可行使；此后，</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应不时就经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批准的每张发票的三分之一部分发行新的认股权证，直至已发行的认股权证（含签约认股权证）总价值合计达到最高人民币 </w:t>
      </w:r>
      <w:r>
        <w:rPr>
          <w:rFonts w:ascii="Times New Roman;Times;Serif" w:hAnsi="Times New Roman;Times;Serif"/>
          <w:b w:val="false"/>
          <w:i w:val="false"/>
          <w:caps w:val="false"/>
          <w:smallCaps w:val="false"/>
          <w:sz w:val="20"/>
        </w:rPr>
        <w:t xml:space="preserve">100,000,000 </w:t>
      </w:r>
      <w:r>
        <w:rPr>
          <w:rFonts w:eastAsia="Times New Roman;Times;Serif"/>
          <w:b w:val="false"/>
          <w:i w:val="false"/>
          <w:caps w:val="false"/>
          <w:smallCaps w:val="false"/>
          <w:sz w:val="20"/>
        </w:rPr>
        <w:t xml:space="preserve">元。为免疑义，持续发行须经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董事会批准；一经发行并批准，即为按依据本协议条款确定的固定且已知的行权价，购买固定且已知数量的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股份。</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应尽商业上合理的努力促使其董事会批准持续发行；如就任何经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批准的发票未获得该等批准，</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应以现金支付该发票对应的三分之一部分。</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Ongoing Issuance</w:t>
      </w:r>
      <w:r>
        <w:rPr>
          <w:rFonts w:ascii="Times New Roman;Times;Serif" w:hAnsi="Times New Roman;Times;Serif"/>
          <w:b w:val="false"/>
          <w:i w:val="false"/>
          <w:caps w:val="false"/>
          <w:smallCaps w:val="false"/>
          <w:sz w:val="20"/>
        </w:rPr>
        <w:t>. The Initial Warrants shall become exercisable and shall be credited against and shall satisfy one-third of each invoice approved by Aptera until the Initial Warrants are fully exercisable. Thereafter, Aptera shall, from time to time, issue new Warrants for the one-third portion of each invoice approved by Aptera, until Warrants worth up to RMB 100,000,000 (inclusive of the Initial Warrants) in the aggregate have been issued. For the avoidance of doubt, Ongoing Issuances will be subject to the approval of the Board of Directors of Aptera, and once issued and approved, will be for a fixed and known number of SEV Shares at a fixed and known Exercise Price determined based on the terms of this Agreement. Aptera shall use commercially reasonable efforts to obtain the approval of its Board of Directors for the Ongoing Issuances; if such approval is not obtained with respect to any invoice approved by Aptera, Aptera shall satisfy the corresponding one-third portion of such invoice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(c) </w:t>
      </w:r>
      <w:r>
        <w:rPr>
          <w:rFonts w:eastAsia="Times New Roman;Times;Serif"/>
          <w:b w:val="false"/>
          <w:i w:val="false"/>
          <w:caps w:val="false"/>
          <w:smallCaps w:val="false"/>
          <w:sz w:val="20"/>
        </w:rPr>
        <w:t xml:space="preserve">认股权证条款。“认股权证”指按照附件 </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所附认股权证格式所载条款，自发行之日起五（</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）年内按行权价 （定义见下文）购买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股份的权利。每份认股权证项下的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股份数量应等于：</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 xml:space="preserve">相关认股权证批次的美元价值（按下文所述汇率方法将相关人民币金额折算为美元确定），除以 </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 xml:space="preserve">行权价，并向下取整至整数股，且在各种情形下均受第 </w:t>
      </w:r>
      <w:r>
        <w:rPr>
          <w:rFonts w:ascii="Times New Roman;Times;Serif" w:hAnsi="Times New Roman;Times;Serif"/>
          <w:b w:val="false"/>
          <w:i w:val="false"/>
          <w:caps w:val="false"/>
          <w:smallCaps w:val="false"/>
          <w:sz w:val="20"/>
        </w:rPr>
        <w:t>3(d)</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3(e)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3(f) </w:t>
      </w:r>
      <w:r>
        <w:rPr>
          <w:rFonts w:eastAsia="Times New Roman;Times;Serif"/>
          <w:b w:val="false"/>
          <w:i w:val="false"/>
          <w:caps w:val="false"/>
          <w:smallCaps w:val="false"/>
          <w:sz w:val="20"/>
        </w:rPr>
        <w:t>条及认股权证条款的约束。“行权价”等于下列两者中的较高者：</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 xml:space="preserve">相关发行所适用的纳斯达克最低价格（定义见第 </w:t>
      </w:r>
      <w:r>
        <w:rPr>
          <w:rFonts w:ascii="Times New Roman;Times;Serif" w:hAnsi="Times New Roman;Times;Serif"/>
          <w:b w:val="false"/>
          <w:i w:val="false"/>
          <w:caps w:val="false"/>
          <w:smallCaps w:val="false"/>
          <w:sz w:val="20"/>
        </w:rPr>
        <w:t xml:space="preserve">3(d) </w:t>
      </w:r>
      <w:r>
        <w:rPr>
          <w:rFonts w:eastAsia="Times New Roman;Times;Serif"/>
          <w:b w:val="false"/>
          <w:i w:val="false"/>
          <w:caps w:val="false"/>
          <w:smallCaps w:val="false"/>
          <w:sz w:val="20"/>
        </w:rPr>
        <w:t xml:space="preserve">条），其中就第 </w:t>
      </w:r>
      <w:r>
        <w:rPr>
          <w:rFonts w:ascii="Times New Roman;Times;Serif" w:hAnsi="Times New Roman;Times;Serif"/>
          <w:b w:val="false"/>
          <w:i w:val="false"/>
          <w:caps w:val="false"/>
          <w:smallCaps w:val="false"/>
          <w:sz w:val="20"/>
        </w:rPr>
        <w:t xml:space="preserve">3(a) </w:t>
      </w:r>
      <w:r>
        <w:rPr>
          <w:rFonts w:eastAsia="Times New Roman;Times;Serif"/>
          <w:b w:val="false"/>
          <w:i w:val="false"/>
          <w:caps w:val="false"/>
          <w:smallCaps w:val="false"/>
          <w:sz w:val="20"/>
        </w:rPr>
        <w:t xml:space="preserve">条项下授予的签约认股权证而言以 </w:t>
      </w:r>
      <w:r>
        <w:rPr>
          <w:rFonts w:ascii="Times New Roman;Times;Serif" w:hAnsi="Times New Roman;Times;Serif"/>
          <w:b w:val="false"/>
          <w:i w:val="false"/>
          <w:caps w:val="false"/>
          <w:smallCaps w:val="false"/>
          <w:sz w:val="20"/>
        </w:rPr>
        <w:t>2026</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 xml:space="preserve">8 </w:t>
      </w:r>
      <w:r>
        <w:rPr>
          <w:rFonts w:eastAsia="Times New Roman;Times;Serif"/>
          <w:b w:val="false"/>
          <w:i w:val="false"/>
          <w:caps w:val="false"/>
          <w:smallCaps w:val="false"/>
          <w:sz w:val="20"/>
        </w:rPr>
        <w:t xml:space="preserve">月 </w:t>
      </w:r>
      <w:r>
        <w:rPr>
          <w:rFonts w:ascii="Times New Roman;Times;Serif" w:hAnsi="Times New Roman;Times;Serif"/>
          <w:b w:val="false"/>
          <w:i w:val="false"/>
          <w:caps w:val="false"/>
          <w:smallCaps w:val="false"/>
          <w:sz w:val="20"/>
        </w:rPr>
        <w:t xml:space="preserve">14 </w:t>
      </w:r>
      <w:r>
        <w:rPr>
          <w:rFonts w:eastAsia="Times New Roman;Times;Serif"/>
          <w:b w:val="false"/>
          <w:i w:val="false"/>
          <w:caps w:val="false"/>
          <w:smallCaps w:val="false"/>
          <w:sz w:val="20"/>
        </w:rPr>
        <w:t xml:space="preserve">日为确定基准，就任何后续认股权证发行而言，以与该发行相关的具有约束力的书面协议的签署日或纳斯达克接受的其他确定基准日为准；及 </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 xml:space="preserve">就签约认股权证以外的任何认股权证而言，每股 </w:t>
      </w:r>
      <w:r>
        <w:rPr>
          <w:rFonts w:ascii="Times New Roman;Times;Serif" w:hAnsi="Times New Roman;Times;Serif"/>
          <w:b w:val="false"/>
          <w:i w:val="false"/>
          <w:caps w:val="false"/>
          <w:smallCaps w:val="false"/>
          <w:sz w:val="20"/>
        </w:rPr>
        <w:t xml:space="preserve">2.25 </w:t>
      </w:r>
      <w:r>
        <w:rPr>
          <w:rFonts w:eastAsia="Times New Roman;Times;Serif"/>
          <w:b w:val="false"/>
          <w:i w:val="false"/>
          <w:caps w:val="false"/>
          <w:smallCaps w:val="false"/>
          <w:sz w:val="20"/>
        </w:rPr>
        <w:t xml:space="preserve">美元。为免疑义，签约认股权证的行权价应等于依据上述第 </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 xml:space="preserve">项确定的纳斯达克最低价格，不适用每股 </w:t>
      </w:r>
      <w:r>
        <w:rPr>
          <w:rFonts w:ascii="Times New Roman;Times;Serif" w:hAnsi="Times New Roman;Times;Serif"/>
          <w:b w:val="false"/>
          <w:i w:val="false"/>
          <w:caps w:val="false"/>
          <w:smallCaps w:val="false"/>
          <w:sz w:val="20"/>
        </w:rPr>
        <w:t xml:space="preserve">2.25 </w:t>
      </w:r>
      <w:r>
        <w:rPr>
          <w:rFonts w:eastAsia="Times New Roman;Times;Serif"/>
          <w:b w:val="false"/>
          <w:i w:val="false"/>
          <w:caps w:val="false"/>
          <w:smallCaps w:val="false"/>
          <w:sz w:val="20"/>
        </w:rPr>
        <w:t>美元的下限。人民币金额按美国联邦储备委员会（</w:t>
      </w:r>
      <w:r>
        <w:rPr>
          <w:rFonts w:ascii="Times New Roman;Times;Serif" w:hAnsi="Times New Roman;Times;Serif"/>
          <w:b w:val="false"/>
          <w:i w:val="false"/>
          <w:caps w:val="false"/>
          <w:smallCaps w:val="false"/>
          <w:sz w:val="20"/>
        </w:rPr>
        <w:t xml:space="preserve">H.10 </w:t>
      </w:r>
      <w:r>
        <w:rPr>
          <w:rFonts w:eastAsia="Times New Roman;Times;Serif"/>
          <w:b w:val="false"/>
          <w:i w:val="false"/>
          <w:caps w:val="false"/>
          <w:smallCaps w:val="false"/>
          <w:sz w:val="20"/>
        </w:rPr>
        <w:t xml:space="preserve">公告）公布的、紧接相关认股权证发行所依据的经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批准发票之日前连续五（</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 xml:space="preserve">）个交易日人民币兑美元的平均每日收盘汇率折算为美元；但就签约认股权证而言，适用的折算及定价日期应为 </w:t>
      </w:r>
      <w:r>
        <w:rPr>
          <w:rFonts w:ascii="Times New Roman;Times;Serif" w:hAnsi="Times New Roman;Times;Serif"/>
          <w:b w:val="false"/>
          <w:i w:val="false"/>
          <w:caps w:val="false"/>
          <w:smallCaps w:val="false"/>
          <w:sz w:val="20"/>
        </w:rPr>
        <w:t xml:space="preserve">2026 </w:t>
      </w:r>
      <w:r>
        <w:rPr>
          <w:rFonts w:eastAsia="Times New Roman;Times;Serif"/>
          <w:b w:val="false"/>
          <w:i w:val="false"/>
          <w:caps w:val="false"/>
          <w:smallCaps w:val="false"/>
          <w:sz w:val="20"/>
        </w:rPr>
        <w:t xml:space="preserve">年 </w:t>
      </w:r>
      <w:r>
        <w:rPr>
          <w:rFonts w:ascii="Times New Roman;Times;Serif" w:hAnsi="Times New Roman;Times;Serif"/>
          <w:b w:val="false"/>
          <w:i w:val="false"/>
          <w:caps w:val="false"/>
          <w:smallCaps w:val="false"/>
          <w:sz w:val="20"/>
        </w:rPr>
        <w:t xml:space="preserve">8 </w:t>
      </w:r>
      <w:r>
        <w:rPr>
          <w:rFonts w:eastAsia="Times New Roman;Times;Serif"/>
          <w:b w:val="false"/>
          <w:i w:val="false"/>
          <w:caps w:val="false"/>
          <w:smallCaps w:val="false"/>
          <w:sz w:val="20"/>
        </w:rPr>
        <w:t xml:space="preserve">月 </w:t>
      </w:r>
      <w:r>
        <w:rPr>
          <w:rFonts w:ascii="Times New Roman;Times;Serif" w:hAnsi="Times New Roman;Times;Serif"/>
          <w:b w:val="false"/>
          <w:i w:val="false"/>
          <w:caps w:val="false"/>
          <w:smallCaps w:val="false"/>
          <w:sz w:val="20"/>
        </w:rPr>
        <w:t xml:space="preserve">14 </w:t>
      </w:r>
      <w:r>
        <w:rPr>
          <w:rFonts w:eastAsia="Times New Roman;Times;Serif"/>
          <w:b w:val="false"/>
          <w:i w:val="false"/>
          <w:caps w:val="false"/>
          <w:smallCaps w:val="false"/>
          <w:sz w:val="20"/>
        </w:rPr>
        <w:t xml:space="preserve">日或纳斯达克接受的其他日期。认股权证及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股份的发行将遵守适用的证券法律、</w:t>
      </w:r>
      <w:r>
        <w:rPr>
          <w:rFonts w:ascii="Times New Roman;Times;Serif" w:hAnsi="Times New Roman;Times;Serif"/>
          <w:b w:val="false"/>
          <w:i w:val="false"/>
          <w:caps w:val="false"/>
          <w:smallCaps w:val="false"/>
          <w:sz w:val="20"/>
        </w:rPr>
        <w:t>S</w:t>
      </w:r>
      <w:r>
        <w:rPr>
          <w:rFonts w:eastAsia="Times New Roman;Times;Serif"/>
          <w:b w:val="false"/>
          <w:i w:val="false"/>
          <w:caps w:val="false"/>
          <w:smallCaps w:val="false"/>
          <w:sz w:val="20"/>
        </w:rPr>
        <w:t xml:space="preserve">条例及第 </w:t>
      </w:r>
      <w:r>
        <w:rPr>
          <w:rFonts w:ascii="Times New Roman;Times;Serif" w:hAnsi="Times New Roman;Times;Serif"/>
          <w:b w:val="false"/>
          <w:i w:val="false"/>
          <w:caps w:val="false"/>
          <w:smallCaps w:val="false"/>
          <w:sz w:val="20"/>
        </w:rPr>
        <w:t xml:space="preserve">3(d) </w:t>
      </w:r>
      <w:r>
        <w:rPr>
          <w:rFonts w:eastAsia="Times New Roman;Times;Serif"/>
          <w:b w:val="false"/>
          <w:i w:val="false"/>
          <w:caps w:val="false"/>
          <w:smallCaps w:val="false"/>
          <w:sz w:val="20"/>
        </w:rPr>
        <w:t>条，</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可在任何发行之前并作为发行的条件，要求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作出惯常的投资声明。为免疑义，所发行的认股权证将用于购买已知且固定数量的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股份，其行权价在该等认股权证发行之前以及工作订单开始之前即已固定且已知。认股权证应根据其条款，并在其依据本协议冲抵经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批准的发票的范围内，不时成为可行使的认股权证。签约认股权证用于购买 </w:t>
      </w:r>
      <w:r>
        <w:rPr>
          <w:rFonts w:ascii="Times New Roman;Times;Serif" w:hAnsi="Times New Roman;Times;Serif"/>
          <w:b w:val="false"/>
          <w:i w:val="false"/>
          <w:caps w:val="false"/>
          <w:smallCaps w:val="false"/>
          <w:sz w:val="20"/>
        </w:rPr>
        <w:t xml:space="preserve">3,369,629 </w:t>
      </w:r>
      <w:r>
        <w:rPr>
          <w:rFonts w:eastAsia="Times New Roman;Times;Serif"/>
          <w:b w:val="false"/>
          <w:i w:val="false"/>
          <w:caps w:val="false"/>
          <w:smallCaps w:val="false"/>
          <w:sz w:val="20"/>
        </w:rPr>
        <w:t xml:space="preserve">股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 xml:space="preserve">股份，行权价为 </w:t>
      </w:r>
      <w:r>
        <w:rPr>
          <w:rFonts w:ascii="Times New Roman;Times;Serif" w:hAnsi="Times New Roman;Times;Serif"/>
          <w:b w:val="false"/>
          <w:i w:val="false"/>
          <w:caps w:val="false"/>
          <w:smallCaps w:val="false"/>
          <w:sz w:val="20"/>
        </w:rPr>
        <w:t xml:space="preserve">2.20 </w:t>
      </w:r>
      <w:r>
        <w:rPr>
          <w:rFonts w:eastAsia="Times New Roman;Times;Serif"/>
          <w:b w:val="false"/>
          <w:i w:val="false"/>
          <w:caps w:val="false"/>
          <w:smallCaps w:val="false"/>
          <w:sz w:val="20"/>
        </w:rPr>
        <w:t>美元。</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Terms</w:t>
      </w:r>
      <w:r>
        <w:rPr>
          <w:rFonts w:ascii="Times New Roman;Times;Serif" w:hAnsi="Times New Roman;Times;Serif"/>
          <w:b w:val="false"/>
          <w:i w:val="false"/>
          <w:caps w:val="false"/>
          <w:smallCaps w:val="false"/>
          <w:sz w:val="20"/>
        </w:rPr>
        <w:t>. A “Warrant” is the right to buy SEV Shares at the Exercise Price (defined below) for five (5) years from issuance, on the terms set forth in the form of Warrant attached as Exhibit A. The number of SEV Shares underlying each Warrant shall equal (i) the U.S. dollar value of the applicable Warrant tranche, determined by converting the applicable RMB amount into U.S. dollars using the exchange rate methodology set forth below, divided by (ii) the Exercise Price, rounded down to the nearest whole share, in each case subject to Sections 3(d), 3(e), 3(f) and the terms of the Warrant. The “Exercise Price” shall equal the greater of (i) the Nasdaq Minimum Price (as defined in Section 3(d)) for the applicable issuance, determined as of August 14, 2026 for the Initial Warrants granted under Section 3(a) and, for any subsequent Warrant issuance, as of the signing date of the applicable binding written agreement relating to such issuance or such other measurement date as Nasdaq accepts and (ii) in the case of any Warrants other than the Initial Warrants, $2.25 per share; for the avoidance of doubt, the Exercise Price for the Initial Warrants shall equal such Nasdaq Minimum Price without regard to any floor. RMB amounts are converted to U.S. dollars at the average daily closing exchange rate for the conversion of RMB into USD as published by the Federal Reserve Board (H.10 release) over the five (5) consecutive trading days immediately preceding the date of the applicable invoice approved by Aptera for warrant issuance; provided that, for the Initial Warrants, the applicable conversion and pricing dates shall be August 14, 2026 or such other date as Nasdaq accepts. The Warrants and SEV Shares will be issued in compliance with applicable securities laws, Regulation S and Section 3(d), and Aptera may require customary investment representations from Launch before and as a condition to any issuance. For the avoidance of doubt, Warrants issued will be for the purchase of a known and fixed number of SEV Shares at a fixed and known Exercise Price prior to issuance of such Warrants and prior to commencement of work orders. The Warrants shall become exercisable, from time to time, in accordance with their terms and as and to the extent they are credited against invoices approved by Aptera pursuant to this Agreement. The Initial Warrants are for the purchase of 3,369,629 SEV Shares at an Exercise Price of $2.20.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u w:val="single"/>
        </w:rPr>
        <w:t xml:space="preserve">纳斯达克与 </w:t>
      </w:r>
      <w:r>
        <w:rPr>
          <w:rFonts w:ascii="Times New Roman;Times;Serif" w:hAnsi="Times New Roman;Times;Serif"/>
          <w:b w:val="false"/>
          <w:i w:val="false"/>
          <w:caps w:val="false"/>
          <w:smallCaps w:val="false"/>
          <w:sz w:val="20"/>
          <w:u w:val="single"/>
        </w:rPr>
        <w:t xml:space="preserve">S </w:t>
      </w:r>
      <w:r>
        <w:rPr>
          <w:rFonts w:eastAsia="Times New Roman;Times;Serif"/>
          <w:b w:val="false"/>
          <w:i w:val="false"/>
          <w:caps w:val="false"/>
          <w:smallCaps w:val="false"/>
          <w:sz w:val="20"/>
          <w:u w:val="single"/>
        </w:rPr>
        <w:t xml:space="preserve">条例。双方确认并同意，本协议项下每次认股权证及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股份的发行均拟构成纳斯达克规则 </w:t>
      </w:r>
      <w:r>
        <w:rPr>
          <w:rFonts w:ascii="Times New Roman;Times;Serif" w:hAnsi="Times New Roman;Times;Serif"/>
          <w:b w:val="false"/>
          <w:i w:val="false"/>
          <w:caps w:val="false"/>
          <w:smallCaps w:val="false"/>
          <w:sz w:val="20"/>
          <w:u w:val="single"/>
        </w:rPr>
        <w:t xml:space="preserve">5635 </w:t>
      </w:r>
      <w:r>
        <w:rPr>
          <w:rFonts w:eastAsia="Times New Roman;Times;Serif"/>
          <w:b w:val="false"/>
          <w:i w:val="false"/>
          <w:caps w:val="false"/>
          <w:smallCaps w:val="false"/>
          <w:sz w:val="20"/>
          <w:u w:val="single"/>
        </w:rPr>
        <w:t xml:space="preserve">项下的“按市价”发行。尽管本协议有任何相反规定，除非该等发行或行使可以不低于纳斯达克最低价格的价 格作出且符合包括规则 </w:t>
      </w:r>
      <w:r>
        <w:rPr>
          <w:rFonts w:ascii="Times New Roman;Times;Serif" w:hAnsi="Times New Roman;Times;Serif"/>
          <w:b w:val="false"/>
          <w:i w:val="false"/>
          <w:caps w:val="false"/>
          <w:smallCaps w:val="false"/>
          <w:sz w:val="20"/>
          <w:u w:val="single"/>
        </w:rPr>
        <w:t xml:space="preserve">5635 </w:t>
      </w:r>
      <w:r>
        <w:rPr>
          <w:rFonts w:eastAsia="Times New Roman;Times;Serif"/>
          <w:b w:val="false"/>
          <w:i w:val="false"/>
          <w:caps w:val="false"/>
          <w:smallCaps w:val="false"/>
          <w:sz w:val="20"/>
          <w:u w:val="single"/>
        </w:rPr>
        <w:t xml:space="preserve">在内的纳斯达克规则而无需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股东批准，或已取得任何所需的股东批准，否则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不得发行任何认股权证，</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亦不得行使任何认股权证。就本协议而言，“纳斯达克最低价格”指纳斯达克规则 </w:t>
      </w:r>
      <w:r>
        <w:rPr>
          <w:rFonts w:ascii="Times New Roman;Times;Serif" w:hAnsi="Times New Roman;Times;Serif"/>
          <w:b w:val="false"/>
          <w:i w:val="false"/>
          <w:caps w:val="false"/>
          <w:smallCaps w:val="false"/>
          <w:sz w:val="20"/>
          <w:u w:val="single"/>
        </w:rPr>
        <w:t xml:space="preserve">5635 </w:t>
      </w:r>
      <w:r>
        <w:rPr>
          <w:rFonts w:eastAsia="Times New Roman;Times;Serif"/>
          <w:b w:val="false"/>
          <w:i w:val="false"/>
          <w:caps w:val="false"/>
          <w:smallCaps w:val="false"/>
          <w:sz w:val="20"/>
          <w:u w:val="single"/>
        </w:rPr>
        <w:t>所定义的最低价格，即下列两者中的较低者：</w:t>
      </w:r>
      <w:r>
        <w:rPr>
          <w:rFonts w:ascii="Times New Roman;Times;Serif" w:hAnsi="Times New Roman;Times;Serif"/>
          <w:b w:val="false"/>
          <w:i w:val="false"/>
          <w:caps w:val="false"/>
          <w:smallCaps w:val="false"/>
          <w:sz w:val="20"/>
          <w:u w:val="single"/>
        </w:rPr>
        <w:t xml:space="preserve">(i) </w:t>
      </w:r>
      <w:r>
        <w:rPr>
          <w:rFonts w:eastAsia="Times New Roman;Times;Serif"/>
          <w:b w:val="false"/>
          <w:i w:val="false"/>
          <w:caps w:val="false"/>
          <w:smallCaps w:val="false"/>
          <w:sz w:val="20"/>
          <w:u w:val="single"/>
        </w:rPr>
        <w:t xml:space="preserve">紧接本协议或相关发行所适用的具有约束力的书面协议签署前的纳斯达克官方收盘价；及 </w:t>
      </w:r>
      <w:r>
        <w:rPr>
          <w:rFonts w:ascii="Times New Roman;Times;Serif" w:hAnsi="Times New Roman;Times;Serif"/>
          <w:b w:val="false"/>
          <w:i w:val="false"/>
          <w:caps w:val="false"/>
          <w:smallCaps w:val="false"/>
          <w:sz w:val="20"/>
          <w:u w:val="single"/>
        </w:rPr>
        <w:t xml:space="preserve">(ii) </w:t>
      </w:r>
      <w:r>
        <w:rPr>
          <w:rFonts w:eastAsia="Times New Roman;Times;Serif"/>
          <w:b w:val="false"/>
          <w:i w:val="false"/>
          <w:caps w:val="false"/>
          <w:smallCaps w:val="false"/>
          <w:sz w:val="20"/>
          <w:u w:val="single"/>
        </w:rPr>
        <w:t xml:space="preserve">紧接本协议或相关发行所适用的具有约束力的书面协议签署前五（ </w:t>
      </w:r>
      <w:r>
        <w:rPr>
          <w:rFonts w:ascii="Times New Roman;Times;Serif" w:hAnsi="Times New Roman;Times;Serif"/>
          <w:b w:val="false"/>
          <w:i w:val="false"/>
          <w:caps w:val="false"/>
          <w:smallCaps w:val="false"/>
          <w:sz w:val="20"/>
          <w:u w:val="single"/>
        </w:rPr>
        <w:t>5</w:t>
      </w:r>
      <w:r>
        <w:rPr>
          <w:rFonts w:eastAsia="Times New Roman;Times;Serif"/>
          <w:b w:val="false"/>
          <w:i w:val="false"/>
          <w:caps w:val="false"/>
          <w:smallCaps w:val="false"/>
          <w:sz w:val="20"/>
          <w:u w:val="single"/>
        </w:rPr>
        <w:t xml:space="preserve">）个交易日的纳斯达克官方收盘价的平均值。认股权证及行使认股权证后可发行的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股份将依据经修订的《</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u w:val="single"/>
        </w:rPr>
      </w:pPr>
      <w:r>
        <w:rPr>
          <w:rFonts w:ascii="Times New Roman;Times;Serif" w:hAnsi="Times New Roman;Times;Serif"/>
          <w:b w:val="false"/>
          <w:i w:val="false"/>
          <w:caps w:val="false"/>
          <w:smallCaps w:val="false"/>
          <w:sz w:val="20"/>
          <w:u w:val="single"/>
        </w:rPr>
        <w:t xml:space="preserve">1933 </w:t>
      </w:r>
      <w:r>
        <w:rPr>
          <w:rFonts w:eastAsia="Times New Roman;Times;Serif"/>
          <w:b w:val="false"/>
          <w:i w:val="false"/>
          <w:caps w:val="false"/>
          <w:smallCaps w:val="false"/>
          <w:sz w:val="20"/>
          <w:u w:val="single"/>
        </w:rPr>
        <w:t xml:space="preserve">年证券法》（“《证券法》”）项下的 </w:t>
      </w:r>
      <w:r>
        <w:rPr>
          <w:rFonts w:ascii="Times New Roman;Times;Serif" w:hAnsi="Times New Roman;Times;Serif"/>
          <w:b w:val="false"/>
          <w:i w:val="false"/>
          <w:caps w:val="false"/>
          <w:smallCaps w:val="false"/>
          <w:sz w:val="20"/>
          <w:u w:val="single"/>
        </w:rPr>
        <w:t xml:space="preserve">S </w:t>
      </w:r>
      <w:r>
        <w:rPr>
          <w:rFonts w:eastAsia="Times New Roman;Times;Serif"/>
          <w:b w:val="false"/>
          <w:i w:val="false"/>
          <w:caps w:val="false"/>
          <w:smallCaps w:val="false"/>
          <w:sz w:val="20"/>
          <w:u w:val="single"/>
        </w:rPr>
        <w:t>条例发行，且仅在离岸交易中向非美国人士发行。</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声明、保 证并承诺：其并非美国人士，并非为任何美国人士的账户或利益而取得认股权证或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股份，未曾且不会在美国境内从事任何定向销售行为，将遵守 </w:t>
      </w:r>
      <w:r>
        <w:rPr>
          <w:rFonts w:ascii="Times New Roman;Times;Serif" w:hAnsi="Times New Roman;Times;Serif"/>
          <w:b w:val="false"/>
          <w:i w:val="false"/>
          <w:caps w:val="false"/>
          <w:smallCaps w:val="false"/>
          <w:sz w:val="20"/>
          <w:u w:val="single"/>
        </w:rPr>
        <w:t xml:space="preserve">S </w:t>
      </w:r>
      <w:r>
        <w:rPr>
          <w:rFonts w:eastAsia="Times New Roman;Times;Serif"/>
          <w:b w:val="false"/>
          <w:i w:val="false"/>
          <w:caps w:val="false"/>
          <w:smallCaps w:val="false"/>
          <w:sz w:val="20"/>
          <w:u w:val="single"/>
        </w:rPr>
        <w:t xml:space="preserve">条例项下所有适用的分销合规、转让、转售及对冲限制，且不会向任何美国人士或为任何美国人士的账户或利益而要约、出售、质押或以其他方式处置任何认股权证或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股份，除非该等交易已根据《证券法》登记或获得登记豁免，并在其他方面符合本协议及适用证券法律。</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Nasdaq and Regulation S</w:t>
      </w:r>
      <w:r>
        <w:rPr>
          <w:rFonts w:ascii="Times New Roman;Times;Serif" w:hAnsi="Times New Roman;Times;Serif"/>
          <w:b w:val="false"/>
          <w:i w:val="false"/>
          <w:caps w:val="false"/>
          <w:smallCaps w:val="false"/>
          <w:sz w:val="20"/>
        </w:rPr>
        <w:t>. The Parties acknowledge and agree that each issuance of Warrants and SEV Shares under this Agreement is intended to constitute an “at market” issuance for purposes of Nasdaq Rule 5635. Notwithstanding anything to the contrary in this Agreement, Aptera shall not issue any Warrant, and Launch shall not exercise any Warrant, unless such issuance or exercise may be made at a price not less than the Nasdaq Minimum Price and in compliance with Nasdaq rules, including Rule 5635, without Aptera stockholder approval, or any required stockholder approval has been obtained. For purposes of this Agreement, “Nasdaq Minimum Price” means the minimum price as defined under Nasdaq Rule 5635, which is the lower of (i) the Nasdaq Official Closing Price immediately preceding the signing of this Agreement or the applicable binding written agreement for the relevant issuance and (ii) the average Nasdaq Official Closing Price for the five (5) trading days immediately preceding the signing of this Agreement or the applicable binding written agreement for the relevant issuance. The Warrants and the SEV Shares issuable upon exercise of the Warrants will be issued pursuant to Regulation S under the Securities Act of 1933, as amended (the “Securities Act”), and only in offshore transactions to a person that is not a U.S. person. Launch represents, warrants and covenants that it is not a U.S. person, is not acquiring the Warrants or SEV Shares for the account or benefit of any U.S. person, has not engaged and will not engage in any directed selling efforts in the United States, will comply with all applicable distribution compliance, transfer, resale and hedging restrictions under Regulation S and will not offer, sell, pledge, or otherwise dispose of any Warrant or SEV Share to any U.S. person or for the account or benefit of any U.S. person unless such transaction is registered under the Securities Act or exempt from registration and otherwise complies with this Agreement and applicable securities laws.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(e) </w:t>
      </w:r>
      <w:r>
        <w:rPr>
          <w:rFonts w:eastAsia="Times New Roman;Times;Serif"/>
          <w:b w:val="false"/>
          <w:i w:val="false"/>
          <w:caps w:val="false"/>
          <w:smallCaps w:val="false"/>
          <w:sz w:val="20"/>
          <w:u w:val="single"/>
        </w:rPr>
        <w:t xml:space="preserve">交易所上限。尽管本协议或任何认股权证有任何相反规定，除非且直至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已取得纳斯达克规则所要求的 任何股东批准，或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已确定该等发行或行使根据纳斯达克规则无需股东批准，否则，在该等发行或行使将导 致本协议项下已发行或可发行的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股份总数（包括签约认股权证、所有与发票挂钩的认股权证以及就外部设备或 资产发行的任何认股权证）超过紧接本协议签署前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已发行普通股数量的 </w:t>
      </w:r>
      <w:r>
        <w:rPr>
          <w:rFonts w:ascii="Times New Roman;Times;Serif" w:hAnsi="Times New Roman;Times;Serif"/>
          <w:b w:val="false"/>
          <w:i w:val="false"/>
          <w:caps w:val="false"/>
          <w:smallCaps w:val="false"/>
          <w:sz w:val="20"/>
          <w:u w:val="single"/>
        </w:rPr>
        <w:t>19.99%</w:t>
      </w:r>
      <w:r>
        <w:rPr>
          <w:rFonts w:eastAsia="Times New Roman;Times;Serif"/>
          <w:b w:val="false"/>
          <w:i w:val="false"/>
          <w:caps w:val="false"/>
          <w:smallCaps w:val="false"/>
          <w:sz w:val="20"/>
          <w:u w:val="single"/>
        </w:rPr>
        <w:t>（“交易所上限”）的范围内，</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不得根据本协议发行任何认股权证，</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亦不得行使任何认股权证。就适用交易所上限而言，本协议项下已发行或可发行的所有认股权证应合并计算，任何违反本第 </w:t>
      </w:r>
      <w:r>
        <w:rPr>
          <w:rFonts w:ascii="Times New Roman;Times;Serif" w:hAnsi="Times New Roman;Times;Serif"/>
          <w:b w:val="false"/>
          <w:i w:val="false"/>
          <w:caps w:val="false"/>
          <w:smallCaps w:val="false"/>
          <w:sz w:val="20"/>
          <w:u w:val="single"/>
        </w:rPr>
        <w:t xml:space="preserve">3(e) </w:t>
      </w:r>
      <w:r>
        <w:rPr>
          <w:rFonts w:eastAsia="Times New Roman;Times;Serif"/>
          <w:b w:val="false"/>
          <w:i w:val="false"/>
          <w:caps w:val="false"/>
          <w:smallCaps w:val="false"/>
          <w:sz w:val="20"/>
          <w:u w:val="single"/>
        </w:rPr>
        <w:t>条的发行或行使在该超出部分的范围内无效。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Notwithstanding anything to the contrary in this Agreement or any Warrant, unless and until Aptera has obtained any stockholder approval required by Nasdaq rules or Aptera has determined that such issuance or exercise does not require stockholder approval under Nasdaq rules, Aptera shall not issue any Warrant under this Agreement, and Launch shall not exercise any Warrant, in each case to the extent such issuance or exercise would result in the aggregate number of SEV Shares issued or issuable under this Agreement, including the Initial Warrants, all invoice-linked Warrants and any Warrants issued in respect of outside equipment or assets, exceeding 19.99% of the number of shares of Aptera common stock outstanding immediately before the signing of this Agreement (the “Exchange Cap”). All Warrants issued or issuable under this Agreement shall be aggregated for purposes of applying the Exchange Cap, and any issuance or exercise in violation of this Section 3(e) shall be void to the extent of such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(f) </w:t>
      </w:r>
      <w:r>
        <w:rPr>
          <w:rFonts w:eastAsia="Times New Roman;Times;Serif"/>
          <w:b w:val="false"/>
          <w:i w:val="false"/>
          <w:caps w:val="false"/>
          <w:smallCaps w:val="false"/>
          <w:sz w:val="20"/>
          <w:u w:val="single"/>
        </w:rPr>
        <w:t xml:space="preserve">实益所有权限制。除非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另行书面同意，在该等行使或发行生效后，</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连同其关联方以及根据经修 订的《</w:t>
      </w:r>
      <w:r>
        <w:rPr>
          <w:rFonts w:ascii="Times New Roman;Times;Serif" w:hAnsi="Times New Roman;Times;Serif"/>
          <w:b w:val="false"/>
          <w:i w:val="false"/>
          <w:caps w:val="false"/>
          <w:smallCaps w:val="false"/>
          <w:sz w:val="20"/>
          <w:u w:val="single"/>
        </w:rPr>
        <w:t xml:space="preserve">1934 </w:t>
      </w:r>
      <w:r>
        <w:rPr>
          <w:rFonts w:eastAsia="Times New Roman;Times;Serif"/>
          <w:b w:val="false"/>
          <w:i w:val="false"/>
          <w:caps w:val="false"/>
          <w:smallCaps w:val="false"/>
          <w:sz w:val="20"/>
          <w:u w:val="single"/>
        </w:rPr>
        <w:t xml:space="preserve">年证券交易法》第 </w:t>
      </w:r>
      <w:r>
        <w:rPr>
          <w:rFonts w:ascii="Times New Roman;Times;Serif" w:hAnsi="Times New Roman;Times;Serif"/>
          <w:b w:val="false"/>
          <w:i w:val="false"/>
          <w:caps w:val="false"/>
          <w:smallCaps w:val="false"/>
          <w:sz w:val="20"/>
          <w:u w:val="single"/>
        </w:rPr>
        <w:t xml:space="preserve">13(d) </w:t>
      </w:r>
      <w:r>
        <w:rPr>
          <w:rFonts w:eastAsia="Times New Roman;Times;Serif"/>
          <w:b w:val="false"/>
          <w:i w:val="false"/>
          <w:caps w:val="false"/>
          <w:smallCaps w:val="false"/>
          <w:sz w:val="20"/>
          <w:u w:val="single"/>
        </w:rPr>
        <w:t xml:space="preserve">条及其项下规则须与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合并计算实益所有权的任何其他人士，将实益拥有紧接该等行使或发行后已发行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股份的 </w:t>
      </w:r>
      <w:r>
        <w:rPr>
          <w:rFonts w:ascii="Times New Roman;Times;Serif" w:hAnsi="Times New Roman;Times;Serif"/>
          <w:b w:val="false"/>
          <w:i w:val="false"/>
          <w:caps w:val="false"/>
          <w:smallCaps w:val="false"/>
          <w:sz w:val="20"/>
          <w:u w:val="single"/>
        </w:rPr>
        <w:t xml:space="preserve">4.99% </w:t>
      </w:r>
      <w:r>
        <w:rPr>
          <w:rFonts w:eastAsia="Times New Roman;Times;Serif"/>
          <w:b w:val="false"/>
          <w:i w:val="false"/>
          <w:caps w:val="false"/>
          <w:smallCaps w:val="false"/>
          <w:sz w:val="20"/>
          <w:u w:val="single"/>
        </w:rPr>
        <w:t>以上的，在该范围内，</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不得行使任何认股权证，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亦不得发行任何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股份。为确定该限制，</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应按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合理要求，就其在行使前后的实益所有权向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提供书面证明，任何违反本第 </w:t>
      </w:r>
      <w:r>
        <w:rPr>
          <w:rFonts w:ascii="Times New Roman;Times;Serif" w:hAnsi="Times New Roman;Times;Serif"/>
          <w:b w:val="false"/>
          <w:i w:val="false"/>
          <w:caps w:val="false"/>
          <w:smallCaps w:val="false"/>
          <w:sz w:val="20"/>
          <w:u w:val="single"/>
        </w:rPr>
        <w:t xml:space="preserve">3(f) </w:t>
      </w:r>
      <w:r>
        <w:rPr>
          <w:rFonts w:eastAsia="Times New Roman;Times;Serif"/>
          <w:b w:val="false"/>
          <w:i w:val="false"/>
          <w:caps w:val="false"/>
          <w:smallCaps w:val="false"/>
          <w:sz w:val="20"/>
          <w:u w:val="single"/>
        </w:rPr>
        <w:t>条的行使通知在该超出部分的范围内无效。</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Unless Aptera otherwise consents in writing, Launch shall not exercise any Warrant, and Aptera shall not issue any SEV Shares, in each case to the extent that, after giving effect to such exercise or issuance, Launch, together with its affiliates and any other persons whose beneficial ownership would be aggregated with Launch under Section 13(d) of the Securities Exchange Act of 1934, as amended, and the rules thereunder, would beneficially own more than 4.99% of the SEV Shares outstanding immediately after such exercise or issuance. For purposes of determining this limitation, Launch shall provide Aptera with written certifications regarding its beneficial ownership before and after exercise as Aptera reasonably requests, and any exercise notice in violation of this Section 3(f) shall be void to the extent of such excess.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(g) </w:t>
      </w:r>
      <w:r>
        <w:rPr>
          <w:rFonts w:eastAsia="Times New Roman;Times;Serif"/>
          <w:b w:val="false"/>
          <w:i w:val="false"/>
          <w:caps w:val="false"/>
          <w:smallCaps w:val="false"/>
          <w:sz w:val="20"/>
          <w:u w:val="single"/>
        </w:rPr>
        <w:t>私募与受限证券；报告义务。</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确认并同意，认股权证及行使认股权证后可发行的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股份未根据《证 券法》或任何州证券法律登记，构成“受限证券”，除非该等转让、出售、质押或其他处置已根据《证券法》登记，或依据可用的登记豁免作出并符合 </w:t>
      </w:r>
      <w:r>
        <w:rPr>
          <w:rFonts w:ascii="Times New Roman;Times;Serif" w:hAnsi="Times New Roman;Times;Serif"/>
          <w:b w:val="false"/>
          <w:i w:val="false"/>
          <w:caps w:val="false"/>
          <w:smallCaps w:val="false"/>
          <w:sz w:val="20"/>
          <w:u w:val="single"/>
        </w:rPr>
        <w:t xml:space="preserve">S </w:t>
      </w:r>
      <w:r>
        <w:rPr>
          <w:rFonts w:eastAsia="Times New Roman;Times;Serif"/>
          <w:b w:val="false"/>
          <w:i w:val="false"/>
          <w:caps w:val="false"/>
          <w:smallCaps w:val="false"/>
          <w:sz w:val="20"/>
          <w:u w:val="single"/>
        </w:rPr>
        <w:t xml:space="preserve">条例、本协议、认股权证及任何适用的转让限制，否则不得转让、出售、质押或以其他方式处置。认股权证及任何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股份应带有惯常的限制性标注。在任何转让、转售、移除限制性标注或行使之前，</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可要求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交付令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及其股份过户登记机构合理满意的惯常证明、声明函及法律意见书。</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进一步确认，其对认股权证及任何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股份的所有权、实益所有权、行使、转让或处置，可能产生美国联邦证券法律、美国证券交易委员会规则及纳斯达克规则项下的报告、备案或其他合规义务（包括在适用范围内的实益所有权报告义务），</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应自行负责确定并遵守任何该等义务。如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依据《证券法》项下颁布的第 </w:t>
      </w:r>
      <w:r>
        <w:rPr>
          <w:rFonts w:ascii="Times New Roman;Times;Serif" w:hAnsi="Times New Roman;Times;Serif"/>
          <w:b w:val="false"/>
          <w:i w:val="false"/>
          <w:caps w:val="false"/>
          <w:smallCaps w:val="false"/>
          <w:sz w:val="20"/>
          <w:u w:val="single"/>
        </w:rPr>
        <w:t xml:space="preserve">144 </w:t>
      </w:r>
      <w:r>
        <w:rPr>
          <w:rFonts w:eastAsia="Times New Roman;Times;Serif"/>
          <w:b w:val="false"/>
          <w:i w:val="false"/>
          <w:caps w:val="false"/>
          <w:smallCaps w:val="false"/>
          <w:sz w:val="20"/>
          <w:u w:val="single"/>
        </w:rPr>
        <w:t xml:space="preserve">条规则（或美国证券交易委员会其后颁布的任何承继规则）出售或以其他方式处置因行使认股权证而可发行的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股份，且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已遵守本第 </w:t>
      </w:r>
      <w:r>
        <w:rPr>
          <w:rFonts w:ascii="Times New Roman;Times;Serif" w:hAnsi="Times New Roman;Times;Serif"/>
          <w:b w:val="false"/>
          <w:i w:val="false"/>
          <w:caps w:val="false"/>
          <w:smallCaps w:val="false"/>
          <w:sz w:val="20"/>
          <w:u w:val="single"/>
        </w:rPr>
        <w:t xml:space="preserve">3(g) </w:t>
      </w:r>
      <w:r>
        <w:rPr>
          <w:rFonts w:eastAsia="Times New Roman;Times;Serif"/>
          <w:b w:val="false"/>
          <w:i w:val="false"/>
          <w:caps w:val="false"/>
          <w:smallCaps w:val="false"/>
          <w:sz w:val="20"/>
          <w:u w:val="single"/>
        </w:rPr>
        <w:t xml:space="preserve">条的要求，经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请求，</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应尽商业上合理的努力促使其股份过户登记机构移除与持有该等 </w:t>
      </w:r>
      <w:r>
        <w:rPr>
          <w:rFonts w:ascii="Times New Roman;Times;Serif" w:hAnsi="Times New Roman;Times;Serif"/>
          <w:b w:val="false"/>
          <w:i w:val="false"/>
          <w:caps w:val="false"/>
          <w:smallCaps w:val="false"/>
          <w:sz w:val="20"/>
          <w:u w:val="single"/>
        </w:rPr>
        <w:t xml:space="preserve">SEV </w:t>
      </w:r>
      <w:r>
        <w:rPr>
          <w:rFonts w:eastAsia="Times New Roman;Times;Serif"/>
          <w:b w:val="false"/>
          <w:i w:val="false"/>
          <w:caps w:val="false"/>
          <w:smallCaps w:val="false"/>
          <w:sz w:val="20"/>
          <w:u w:val="single"/>
        </w:rPr>
        <w:t xml:space="preserve">股份的簿记账户相关的任何限制性标注（以已满足《证券法》规则及条例项下要求为限），并在收到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的该等请求后及时就该等已出售或处置的簿记股份作出新的、不带限制性标注的登记；但前提是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及过户登记机构已及时收到 </w:t>
      </w:r>
      <w:r>
        <w:rPr>
          <w:rFonts w:ascii="Times New Roman;Times;Serif" w:hAnsi="Times New Roman;Times;Serif"/>
          <w:b w:val="false"/>
          <w:i w:val="false"/>
          <w:caps w:val="false"/>
          <w:smallCaps w:val="false"/>
          <w:sz w:val="20"/>
          <w:u w:val="single"/>
        </w:rPr>
        <w:t xml:space="preserve">Launch </w:t>
      </w:r>
      <w:r>
        <w:rPr>
          <w:rFonts w:eastAsia="Times New Roman;Times;Serif"/>
          <w:b w:val="false"/>
          <w:i w:val="false"/>
          <w:caps w:val="false"/>
          <w:smallCaps w:val="false"/>
          <w:sz w:val="20"/>
          <w:u w:val="single"/>
        </w:rPr>
        <w:t xml:space="preserve">提供的、令 </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及其过户登记机构合理接受的惯常声明及其他相关文件。</w:t>
      </w:r>
      <w:r>
        <w:rPr>
          <w:rFonts w:ascii="Times New Roman;Times;Serif" w:hAnsi="Times New Roman;Times;Serif"/>
          <w:b w:val="false"/>
          <w:i w:val="false"/>
          <w:caps w:val="false"/>
          <w:smallCaps w:val="false"/>
          <w:sz w:val="20"/>
          <w:u w:val="single"/>
        </w:rPr>
        <w:t xml:space="preserve">Aptera </w:t>
      </w:r>
      <w:r>
        <w:rPr>
          <w:rFonts w:eastAsia="Times New Roman;Times;Serif"/>
          <w:b w:val="false"/>
          <w:i w:val="false"/>
          <w:caps w:val="false"/>
          <w:smallCaps w:val="false"/>
          <w:sz w:val="20"/>
          <w:u w:val="single"/>
        </w:rPr>
        <w:t xml:space="preserve">应承担其过户登记机构费用、其法律顾问费用以及与该等发行相关的全部 </w:t>
      </w:r>
      <w:r>
        <w:rPr>
          <w:rFonts w:ascii="Times New Roman;Times;Serif" w:hAnsi="Times New Roman;Times;Serif"/>
          <w:b w:val="false"/>
          <w:i w:val="false"/>
          <w:caps w:val="false"/>
          <w:smallCaps w:val="false"/>
          <w:sz w:val="20"/>
          <w:u w:val="single"/>
        </w:rPr>
        <w:t xml:space="preserve">DTC </w:t>
      </w:r>
      <w:r>
        <w:rPr>
          <w:rFonts w:eastAsia="Times New Roman;Times;Serif"/>
          <w:b w:val="false"/>
          <w:i w:val="false"/>
          <w:caps w:val="false"/>
          <w:smallCaps w:val="false"/>
          <w:sz w:val="20"/>
          <w:u w:val="single"/>
        </w:rPr>
        <w:t>费用。</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Private and Restricted Securities; Reporting Obligations</w:t>
      </w:r>
      <w:r>
        <w:rPr>
          <w:rFonts w:ascii="Times New Roman;Times;Serif" w:hAnsi="Times New Roman;Times;Serif"/>
          <w:b w:val="false"/>
          <w:i w:val="false"/>
          <w:caps w:val="false"/>
          <w:smallCaps w:val="false"/>
          <w:sz w:val="20"/>
        </w:rPr>
        <w:t xml:space="preserve">. Launch acknowledges and agrees that the Warrants and the SEV Shares issuable upon exercise of the Warrants have not been registered under the Securities Act or any state securities laws, constitute “restricted securities,” and may not be transferred, sold, pledged or otherwise disposed of unless such transfer, sale, pledge or other disposition is registered under the Securities Act or is made pursuant to an available exemption from registration and in compliance with Regulation S, this Agreement, the Warrant and any applicable transfer restrictions. The Warrants and any SEV Shares shall bear customary restrictive legends. Aptera may require Launch to deliver customary certifications, representation letters and legal opinions reasonably satisfactory to Aptera and its transfer agent before any transfer, resale, legend removal or exercise. Launch further acknowledges that its ownership, beneficial ownership, exercise, transfer, or disposition of the Warrants and any SEV Shares may result in reporting, filing, or other compliance obligations under U.S. federal securities laws, rules of the U.S. Securities and Exchange Commission, and Nasdaq rules, including beneficial ownership reporting obligations to the extent applicable, and Launch shall be solely responsible for determining and complying with any such obligations. </w:t>
      </w:r>
      <w:r>
        <w:rPr>
          <w:rFonts w:ascii="Times New Roman;Times;Serif" w:hAnsi="Times New Roman;Times;Serif"/>
          <w:b w:val="false"/>
          <w:i w:val="false"/>
          <w:caps w:val="false"/>
          <w:smallCaps w:val="false"/>
          <w:sz w:val="20"/>
          <w:u w:val="single"/>
        </w:rPr>
        <w:t>In connection with any sale or other disposition of the SEV Shares issuable upon exercise of the Warrants by Launch pursuant to Rule 144 promulgated under the Securities Act (or any successor rule promulgated thereafter by the</w:t>
      </w:r>
      <w:r>
        <w:rPr>
          <w:rFonts w:ascii="Times New Roman;Times;Serif" w:hAnsi="Times New Roman;Times;Serif"/>
          <w:b w:val="false"/>
          <w:i w:val="false"/>
          <w:caps w:val="false"/>
          <w:smallCaps w:val="false"/>
          <w:sz w:val="20"/>
        </w:rPr>
        <w:t xml:space="preserve"> U.S. Securities and Exchange Commission</w:t>
      </w:r>
      <w:r>
        <w:rPr>
          <w:rFonts w:ascii="Times New Roman;Times;Serif" w:hAnsi="Times New Roman;Times;Serif"/>
          <w:b w:val="false"/>
          <w:i w:val="false"/>
          <w:caps w:val="false"/>
          <w:smallCaps w:val="false"/>
          <w:sz w:val="20"/>
          <w:u w:val="single"/>
        </w:rPr>
        <w:t>) and upon compliance by Launch with the requirements of this Section 3(g), if requested by Launch, Aptera shall use its commercially reasonable efforts to cause its transfer agent to remove any restrictive legends related to the book entry account holding such SEV Shares (if the requirements under the rules and regulations of the Securities Act have been met) and make a new, unlegended entry for such book entry shares sold or disposed of without restrictive legends promptly after any such request therefor from Launch; provided that Aptera and its transfer agent have timely received from Launch customary representations and other documentation reasonably acceptable to Aptera and its transfer agent in connection therewith. Aptera shall be responsible for the fees of its transfer agent, its legal counsel and all DTC fees associated with such issuance.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(h) </w:t>
      </w:r>
      <w:r>
        <w:rPr>
          <w:rFonts w:eastAsia="Times New Roman;Times;Serif"/>
          <w:b w:val="false"/>
          <w:i w:val="false"/>
          <w:caps w:val="false"/>
          <w:smallCaps w:val="false"/>
          <w:sz w:val="20"/>
        </w:rPr>
        <w:t xml:space="preserve">不可抗力。如不可抗力导致 </w:t>
      </w:r>
      <w:r>
        <w:rPr>
          <w:rFonts w:ascii="Times New Roman;Times;Serif" w:hAnsi="Times New Roman;Times;Serif"/>
          <w:b w:val="false"/>
          <w:i w:val="false"/>
          <w:caps w:val="false"/>
          <w:smallCaps w:val="false"/>
          <w:sz w:val="20"/>
        </w:rPr>
        <w:t>Launch</w:t>
      </w:r>
      <w:r>
        <w:rPr>
          <w:rFonts w:eastAsia="Times New Roman;Times;Serif"/>
          <w:b w:val="false"/>
          <w:i w:val="false"/>
          <w:caps w:val="false"/>
          <w:smallCaps w:val="false"/>
          <w:sz w:val="20"/>
        </w:rPr>
        <w:t xml:space="preserve">（非因其自身或其任何关联方的过错、作为或不作为）无法合法行使依据本协议发行的、已就经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批准的特定发票于本协议项下成为可行使的任何认股权证，且尽管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已尽最大努力仍无任何合法渠道可供其行使，则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应就此向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送达书面通知，并附上证明该状况及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为行使认股权证所作努力的合理文件。如该状况自该书面通知送达后连续持续至少九十（</w:t>
      </w:r>
      <w:r>
        <w:rPr>
          <w:rFonts w:ascii="Times New Roman;Times;Serif" w:hAnsi="Times New Roman;Times;Serif"/>
          <w:b w:val="false"/>
          <w:i w:val="false"/>
          <w:caps w:val="false"/>
          <w:smallCaps w:val="false"/>
          <w:sz w:val="20"/>
        </w:rPr>
        <w:t>90</w:t>
      </w:r>
      <w:r>
        <w:rPr>
          <w:rFonts w:eastAsia="Times New Roman;Times;Serif"/>
          <w:b w:val="false"/>
          <w:i w:val="false"/>
          <w:caps w:val="false"/>
          <w:smallCaps w:val="false"/>
          <w:sz w:val="20"/>
        </w:rPr>
        <w:t xml:space="preserve">）日，则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应自行选择：</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 xml:space="preserve">就该等认股权证所支付的发票部分向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支付现金补偿；或 </w:t>
      </w: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 xml:space="preserve">向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出具本票，自出具之日起六（</w:t>
      </w:r>
      <w:r>
        <w:rPr>
          <w:rFonts w:ascii="Times New Roman;Times;Serif" w:hAnsi="Times New Roman;Times;Serif"/>
          <w:b w:val="false"/>
          <w:i w:val="false"/>
          <w:caps w:val="false"/>
          <w:smallCaps w:val="false"/>
          <w:sz w:val="20"/>
        </w:rPr>
        <w:t>6</w:t>
      </w:r>
      <w:r>
        <w:rPr>
          <w:rFonts w:eastAsia="Times New Roman;Times;Serif"/>
          <w:b w:val="false"/>
          <w:i w:val="false"/>
          <w:caps w:val="false"/>
          <w:smallCaps w:val="false"/>
          <w:sz w:val="20"/>
        </w:rPr>
        <w:t xml:space="preserve">）个月内分期等额支付该金额，且在任何情况下合计不超过人民币 </w:t>
      </w:r>
      <w:r>
        <w:rPr>
          <w:rFonts w:ascii="Times New Roman;Times;Serif" w:hAnsi="Times New Roman;Times;Serif"/>
          <w:b w:val="false"/>
          <w:i w:val="false"/>
          <w:caps w:val="false"/>
          <w:smallCaps w:val="false"/>
          <w:sz w:val="20"/>
        </w:rPr>
        <w:t xml:space="preserve">100,000,000 </w:t>
      </w:r>
      <w:r>
        <w:rPr>
          <w:rFonts w:eastAsia="Times New Roman;Times;Serif"/>
          <w:b w:val="false"/>
          <w:i w:val="false"/>
          <w:caps w:val="false"/>
          <w:smallCaps w:val="false"/>
          <w:sz w:val="20"/>
        </w:rPr>
        <w:t>元。在支付现金或交付本票后，</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届时持有的该等认股权证（无论是否可行使）应予注销并不再具有任何效力。</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If force majeure prevents Launch, through no fault, action or inaction of its own or of any of its affiliates, from lawfully exercising any Warrants issued pursuant to this Agreement which have become exercisable hereunder with respect to a specific invoice approved by Aptera, and despite Launch’s best efforts no lawful channel is available to Launch to do so, Launch shall deliver written notice thereof to Aptera, together with reasonable documentation evidencing such condition and Launch’s efforts to exercise the Warrants. If such condition continues for at least ninety (90) consecutive days after such written notice is delivered, Aptera shall, at Aptera’s sole option, either (a) pay Launch cash compensation for the portion of the invoice which such Warrants satisfied, or (b) issue Launch a promissory note, payable in equal installments over six (6) months from the date of issuance for such amount, and in no event exceeding RMB 100,000,000 in the aggregate. Upon payment in cash or delivery of a promissory note, such Warrants (whether exercisable or not exercisable) then held by Launch shall be cancelled and of no further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4. </w:t>
      </w:r>
      <w:r>
        <w:rPr>
          <w:rFonts w:eastAsia="Times New Roman;Times;Serif"/>
          <w:b/>
          <w:i w:val="false"/>
          <w:caps w:val="false"/>
          <w:smallCaps w:val="false"/>
          <w:sz w:val="20"/>
        </w:rPr>
        <w:t>期限与终止（</w:t>
      </w:r>
      <w:r>
        <w:rPr>
          <w:rFonts w:ascii="Times New Roman;Times;Serif" w:hAnsi="Times New Roman;Times;Serif"/>
          <w:b/>
          <w:i w:val="false"/>
          <w:caps w:val="false"/>
          <w:smallCaps w:val="false"/>
          <w:sz w:val="20"/>
        </w:rPr>
        <w:t>Term and Termination</w:t>
      </w:r>
      <w:r>
        <w:rPr>
          <w:rFonts w:eastAsia="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eastAsia="Times New Roman;Times;Serif"/>
          <w:b w:val="false"/>
          <w:i w:val="false"/>
          <w:caps w:val="false"/>
          <w:smallCaps w:val="false"/>
          <w:sz w:val="20"/>
        </w:rPr>
        <w:t>本协议的初始期限为自生效日起十二 （</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）个月，除非提前终止；经双方互相书面同意，本协议可予延长。为免疑义，本条所述十二（</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）个月期限仅指本协议的期限，不应与认股权证行权的五（</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）年有效期相混淆。任何一方均可提前六十（</w:t>
      </w:r>
      <w:r>
        <w:rPr>
          <w:rFonts w:ascii="Times New Roman;Times;Serif" w:hAnsi="Times New Roman;Times;Serif"/>
          <w:b w:val="false"/>
          <w:i w:val="false"/>
          <w:caps w:val="false"/>
          <w:smallCaps w:val="false"/>
          <w:sz w:val="20"/>
        </w:rPr>
        <w:t>60</w:t>
      </w:r>
      <w:r>
        <w:rPr>
          <w:rFonts w:eastAsia="Times New Roman;Times;Serif"/>
          <w:b w:val="false"/>
          <w:i w:val="false"/>
          <w:caps w:val="false"/>
          <w:smallCaps w:val="false"/>
          <w:sz w:val="20"/>
        </w:rPr>
        <w:t>）天书面通知终止本协议；若另一方发生重大违约，且在收到关于该违约的书面通知后三十（</w:t>
      </w:r>
      <w:r>
        <w:rPr>
          <w:rFonts w:ascii="Times New Roman;Times;Serif" w:hAnsi="Times New Roman;Times;Serif"/>
          <w:b w:val="false"/>
          <w:i w:val="false"/>
          <w:caps w:val="false"/>
          <w:smallCaps w:val="false"/>
          <w:sz w:val="20"/>
        </w:rPr>
        <w:t xml:space="preserve">30 </w:t>
      </w:r>
      <w:r>
        <w:rPr>
          <w:rFonts w:eastAsia="Times New Roman;Times;Serif"/>
          <w:b w:val="false"/>
          <w:i w:val="false"/>
          <w:caps w:val="false"/>
          <w:smallCaps w:val="false"/>
          <w:sz w:val="20"/>
        </w:rPr>
        <w:t xml:space="preserve">）天内未予补救，则可立即终止。已发行的认股权证在终止后仍可行使，第 </w:t>
      </w:r>
      <w:r>
        <w:rPr>
          <w:rFonts w:ascii="Times New Roman;Times;Serif" w:hAnsi="Times New Roman;Times;Serif"/>
          <w:b w:val="false"/>
          <w:i w:val="false"/>
          <w:caps w:val="false"/>
          <w:smallCaps w:val="false"/>
          <w:sz w:val="20"/>
        </w:rPr>
        <w:t xml:space="preserve">3 </w:t>
      </w:r>
      <w:r>
        <w:rPr>
          <w:rFonts w:eastAsia="Times New Roman;Times;Serif"/>
          <w:b w:val="false"/>
          <w:i w:val="false"/>
          <w:caps w:val="false"/>
          <w:smallCaps w:val="false"/>
          <w:sz w:val="20"/>
        </w:rPr>
        <w:t xml:space="preserve">条、第 </w:t>
      </w:r>
      <w:r>
        <w:rPr>
          <w:rFonts w:ascii="Times New Roman;Times;Serif" w:hAnsi="Times New Roman;Times;Serif"/>
          <w:b w:val="false"/>
          <w:i w:val="false"/>
          <w:caps w:val="false"/>
          <w:smallCaps w:val="false"/>
          <w:sz w:val="20"/>
        </w:rPr>
        <w:t xml:space="preserve">5 </w:t>
      </w:r>
      <w:r>
        <w:rPr>
          <w:rFonts w:eastAsia="Times New Roman;Times;Serif"/>
          <w:b w:val="false"/>
          <w:i w:val="false"/>
          <w:caps w:val="false"/>
          <w:smallCaps w:val="false"/>
          <w:sz w:val="20"/>
        </w:rPr>
        <w:t xml:space="preserve">条及任何明确约定于本协议终止后存续的条款亦然；但是，若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发生未补救的重大违约（包括但不限于严重未能达到约定的工程或制造里程碑，但完全由于超出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合理控制范围的事件所导致的违约除外）而由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终止本协议，则 </w:t>
      </w:r>
      <w:r>
        <w:rPr>
          <w:rFonts w:ascii="Times New Roman;Times;Serif" w:hAnsi="Times New Roman;Times;Serif"/>
          <w:b w:val="false"/>
          <w:i w:val="false"/>
          <w:caps w:val="false"/>
          <w:smallCaps w:val="false"/>
          <w:sz w:val="20"/>
        </w:rPr>
        <w:t>Launch</w:t>
      </w:r>
      <w:r>
        <w:rPr>
          <w:rFonts w:eastAsia="Times New Roman;Times;Serif"/>
          <w:b w:val="false"/>
          <w:i w:val="false"/>
          <w:caps w:val="false"/>
          <w:smallCaps w:val="false"/>
          <w:sz w:val="20"/>
        </w:rPr>
        <w:t>于终止之日持有的任何未行使认股权证应自动、立即且永久作废并注销，且不获任何对价，无需任何进一步的通知 、行为或契据。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commence on the Effective Date and run for an initial term of twelve (12) months from the Effective Date, unless earlier terminated in accordance with this Agreement, and may be extended upon the mutual written agreement of the Parties. For the avoidance of doubt, the twelve (12) month period set forth herein refers solely to the term of this Agreement and shall not be conflated with the five (5) year validity period for the exercise of the Warrants. Either Party may terminate this Agreement on sixty (60) days’ written notice, or immediately if the other materially breaches and does not cure such breach within thirty (30) days after it has received written notice from the other Party of such breach. Any Warrants issued and outstanding as of such termination shall remain exercisable after termination of this Agreement, and Sections 3 and 5 and any terms which expressly provide for survival following termination of this Agreement shall survive the termination of this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 provided, however, that if this Agreement is terminated by Aptera due to an uncured material breach by Launch (including, without limitation, a material failure to meet agreed-upon engineering or manufacturing milestones, but excluding any breach caused solely by events beyond Launch’s reasonable control), then any Warrants held by Launch as of the date of termination which have not been exercised shall automatically be immediately and permanently forfeited and canceled for zero consideration, without any further notice, action or deed.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5. </w:t>
      </w:r>
      <w:r>
        <w:rPr>
          <w:rFonts w:eastAsia="Times New Roman;Times;Serif"/>
          <w:b/>
          <w:i w:val="false"/>
          <w:caps w:val="false"/>
          <w:smallCaps w:val="false"/>
          <w:sz w:val="20"/>
        </w:rPr>
        <w:t>一般条款（</w:t>
      </w:r>
      <w:r>
        <w:rPr>
          <w:rFonts w:ascii="Times New Roman;Times;Serif" w:hAnsi="Times New Roman;Times;Serif"/>
          <w:b/>
          <w:i w:val="false"/>
          <w:caps w:val="false"/>
          <w:smallCaps w:val="false"/>
          <w:sz w:val="20"/>
        </w:rPr>
        <w:t>General</w:t>
      </w:r>
      <w:r>
        <w:rPr>
          <w:rFonts w:eastAsia="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授权；可执行性。各方均有充分权力和授权签订本协议、完成本协议拟议的交易并履行其在本协议项下的义务 ，且在符合本协议所载条款和条件的前提下，</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有权发行认股权证及 </w:t>
      </w:r>
      <w:r>
        <w:rPr>
          <w:rFonts w:ascii="Times New Roman;Times;Serif" w:hAnsi="Times New Roman;Times;Serif"/>
          <w:b w:val="false"/>
          <w:i w:val="false"/>
          <w:caps w:val="false"/>
          <w:smallCaps w:val="false"/>
          <w:sz w:val="20"/>
        </w:rPr>
        <w:t xml:space="preserve">SEV </w:t>
      </w:r>
      <w:r>
        <w:rPr>
          <w:rFonts w:eastAsia="Times New Roman;Times;Serif"/>
          <w:b w:val="false"/>
          <w:i w:val="false"/>
          <w:caps w:val="false"/>
          <w:smallCaps w:val="false"/>
          <w:sz w:val="20"/>
        </w:rPr>
        <w:t>股份。本协议构成各方有效且具有约束力的义务，并可按其条款和条件对各方强制执行（但该等可执行性可能受美国破产、资不抵债、重整、暂缓偿付或普遍影响债权人权利的类似美国法律以及美国一般衡平原则的限制）。</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Enforceability</w:t>
      </w:r>
      <w:r>
        <w:rPr>
          <w:rFonts w:ascii="Times New Roman;Times;Serif" w:hAnsi="Times New Roman;Times;Serif"/>
          <w:b w:val="false"/>
          <w:i w:val="false"/>
          <w:caps w:val="false"/>
          <w:smallCaps w:val="false"/>
          <w:sz w:val="20"/>
        </w:rPr>
        <w:t>. Each Party has full power and authority to enter into this Agreement and consummate the transactions contemplated hereby and perform its obligations hereunder, and subject to the terms and conditions set forth herein, Aptera has authority to issue the Warrants and SEV Shares. This Agreement constitutes the valid and binding obligation of each Party and is enforceable against each Party in accordance with its terms and conditions (except as such enforceability may be limited by U.S. bankruptcy, insolvency, reorganization, moratorium or similar U.S. laws affecting creditors’ rights generally and general U.S. equitable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(b) </w:t>
      </w:r>
      <w:r>
        <w:rPr>
          <w:rFonts w:eastAsia="Times New Roman;Times;Serif"/>
          <w:b w:val="false"/>
          <w:i w:val="false"/>
          <w:caps w:val="false"/>
          <w:smallCaps w:val="false"/>
          <w:sz w:val="20"/>
        </w:rPr>
        <w:t>保密。在本协议期限内及其后五年内，各方将对另一方的非公开或专有信息保密，并仅将其用于项目，但下列信息除外：</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在披露方披露之前接收方已经知悉且不负有保密义务的信息；</w:t>
      </w: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非因接收方的过错或违约而已经或后来为公众普遍可得的信息；</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接收方未使用或参考披露方保密信息而独立开发的信息；</w:t>
      </w:r>
      <w:r>
        <w:rPr>
          <w:rFonts w:ascii="Times New Roman;Times;Serif" w:hAnsi="Times New Roman;Times;Serif"/>
          <w:b w:val="false"/>
          <w:i w:val="false"/>
          <w:caps w:val="false"/>
          <w:smallCaps w:val="false"/>
          <w:sz w:val="20"/>
        </w:rPr>
        <w:t xml:space="preserve">(iv) </w:t>
      </w:r>
      <w:r>
        <w:rPr>
          <w:rFonts w:eastAsia="Times New Roman;Times;Serif"/>
          <w:b w:val="false"/>
          <w:i w:val="false"/>
          <w:caps w:val="false"/>
          <w:smallCaps w:val="false"/>
          <w:sz w:val="20"/>
        </w:rPr>
        <w:t xml:space="preserve">接收方从第三方合法获得、不受披露限制且未违反任何保密义务的信息；或 </w:t>
      </w:r>
      <w:r>
        <w:rPr>
          <w:rFonts w:ascii="Times New Roman;Times;Serif" w:hAnsi="Times New Roman;Times;Serif"/>
          <w:b w:val="false"/>
          <w:i w:val="false"/>
          <w:caps w:val="false"/>
          <w:smallCaps w:val="false"/>
          <w:sz w:val="20"/>
        </w:rPr>
        <w:t xml:space="preserve">(v) </w:t>
      </w:r>
      <w:r>
        <w:rPr>
          <w:rFonts w:eastAsia="Times New Roman;Times;Serif"/>
          <w:b w:val="false"/>
          <w:i w:val="false"/>
          <w:caps w:val="false"/>
          <w:smallCaps w:val="false"/>
          <w:sz w:val="20"/>
        </w:rPr>
        <w:t>根据适用法律、证券法律或证券交易所规则要求披露的信息，或应任何监管机构要求而披露的信息。各方可向因项目需要知悉该等信息且负有保密义务的专业顾问披露该等保密信息。接收方应对其专业顾问违反本协议的行为负责。该保密义务在本协议终止后继续有效，并持续五（</w:t>
      </w:r>
      <w:r>
        <w:rPr>
          <w:rFonts w:ascii="Times New Roman;Times;Serif" w:hAnsi="Times New Roman;Times;Serif"/>
          <w:b w:val="false"/>
          <w:i w:val="false"/>
          <w:caps w:val="false"/>
          <w:smallCaps w:val="false"/>
          <w:sz w:val="20"/>
        </w:rPr>
        <w:t>5</w:t>
      </w:r>
      <w:r>
        <w:rPr>
          <w:rFonts w:eastAsia="Times New Roman;Times;Serif"/>
          <w:b w:val="false"/>
          <w:i w:val="false"/>
          <w:caps w:val="false"/>
          <w:smallCaps w:val="false"/>
          <w:sz w:val="20"/>
        </w:rPr>
        <w:t>）年。</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During the term of this Agreement and for a period of five years thereafter, each Party will keep the other’s non-public or proprietary information confidential and use it only for the Project, except for information that: (i) was already known to the receiving Party prior to disclosure by the disclosing Party, without any obligation of confidentiality; (ii) is or becomes generally available to the public through no fault or breach of the receiving Party; (iii) is independently developed by the receiving Party without use of or reference to the disclosing Party’s confidential information; (iv) is rightfully received by the receiving Party from a third party without restriction on disclosure and without breach of any confidentiality obligation;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is required to be disclosed by applicable law, securities law, or stock exchange rules, or in connection with requests from any regulatory authority. Each Party may disclose such confidential information to its professional advisors who need to know such information in connection with the Project and who are bound by an obligation to keep such information confidential. The receiving Party shall be responsible for any breach of this Agreement by its professional advisors. This confidentiality obligation shall survive any termination of this Agreement and will continue for five (5) years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(c) </w:t>
      </w:r>
      <w:r>
        <w:rPr>
          <w:rFonts w:eastAsia="Times New Roman;Times;Serif"/>
          <w:b w:val="false"/>
          <w:i w:val="false"/>
          <w:caps w:val="false"/>
          <w:smallCaps w:val="false"/>
          <w:sz w:val="20"/>
        </w:rPr>
        <w:t>管辖法律；争议解决。本协议受特拉华州法律管辖，但不适用其法律冲突原则。因本协议引起的或与之相关的任何争议、纠纷或索赔，应提交新加坡国际仲裁中心（“</w:t>
      </w:r>
      <w:r>
        <w:rPr>
          <w:rFonts w:ascii="Times New Roman;Times;Serif" w:hAnsi="Times New Roman;Times;Serif"/>
          <w:b w:val="false"/>
          <w:i w:val="false"/>
          <w:caps w:val="false"/>
          <w:smallCaps w:val="false"/>
          <w:sz w:val="20"/>
        </w:rPr>
        <w:t>SIAC”</w:t>
      </w:r>
      <w:r>
        <w:rPr>
          <w:rFonts w:eastAsia="Times New Roman;Times;Serif"/>
          <w:b w:val="false"/>
          <w:i w:val="false"/>
          <w:caps w:val="false"/>
          <w:smallCaps w:val="false"/>
          <w:sz w:val="20"/>
        </w:rPr>
        <w:t xml:space="preserve">），按照提交仲裁时有效的 </w:t>
      </w:r>
      <w:r>
        <w:rPr>
          <w:rFonts w:ascii="Times New Roman;Times;Serif" w:hAnsi="Times New Roman;Times;Serif"/>
          <w:b w:val="false"/>
          <w:i w:val="false"/>
          <w:caps w:val="false"/>
          <w:smallCaps w:val="false"/>
          <w:sz w:val="20"/>
        </w:rPr>
        <w:t xml:space="preserve">SIAC </w:t>
      </w:r>
      <w:r>
        <w:rPr>
          <w:rFonts w:eastAsia="Times New Roman;Times;Serif"/>
          <w:b w:val="false"/>
          <w:i w:val="false"/>
          <w:caps w:val="false"/>
          <w:smallCaps w:val="false"/>
          <w:sz w:val="20"/>
        </w:rPr>
        <w:t>规则进行具有约束力的仲裁并最终解决。仲裁地为新加坡。仲裁庭由三（</w:t>
      </w:r>
      <w:r>
        <w:rPr>
          <w:rFonts w:ascii="Times New Roman;Times;Serif" w:hAnsi="Times New Roman;Times;Serif"/>
          <w:b w:val="false"/>
          <w:i w:val="false"/>
          <w:caps w:val="false"/>
          <w:smallCaps w:val="false"/>
          <w:sz w:val="20"/>
        </w:rPr>
        <w:t>3</w:t>
      </w:r>
      <w:r>
        <w:rPr>
          <w:rFonts w:eastAsia="Times New Roman;Times;Serif"/>
          <w:b w:val="false"/>
          <w:i w:val="false"/>
          <w:caps w:val="false"/>
          <w:smallCaps w:val="false"/>
          <w:sz w:val="20"/>
        </w:rPr>
        <w:t>）名仲裁员组成。仲裁语言为英语。</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Governing Law; Disputes</w:t>
      </w:r>
      <w:r>
        <w:rPr>
          <w:rFonts w:ascii="Times New Roman;Times;Serif" w:hAnsi="Times New Roman;Times;Serif"/>
          <w:b w:val="false"/>
          <w:i w:val="false"/>
          <w:caps w:val="false"/>
          <w:smallCaps w:val="false"/>
          <w:sz w:val="20"/>
        </w:rPr>
        <w:t>. This Agreement is governed by the laws of the State of Delaware, without regard to its conflict of laws principles. Any dispute, controversy, or claim arising out of or relating to this Agreement shall be referred to and finally resolved by binding arbitration administered by the Singapore International Arbitration Centre (“SIAC”) in accordance with the SIAC Rules in force at the time of commencement. The seat of the arbitration shall be Singapore. The Tribunal shall consist of three (3) arbitrators. The language of the arbitration shall be English.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(d) </w:t>
      </w:r>
      <w:r>
        <w:rPr>
          <w:rFonts w:eastAsia="Times New Roman;Times;Serif"/>
          <w:b w:val="false"/>
          <w:i w:val="false"/>
          <w:caps w:val="false"/>
          <w:smallCaps w:val="false"/>
          <w:sz w:val="20"/>
        </w:rPr>
        <w:t xml:space="preserve">完整协议。本协议连同附件 </w:t>
      </w:r>
      <w:r>
        <w:rPr>
          <w:rFonts w:ascii="Times New Roman;Times;Serif" w:hAnsi="Times New Roman;Times;Serif"/>
          <w:b w:val="false"/>
          <w:i w:val="false"/>
          <w:caps w:val="false"/>
          <w:smallCaps w:val="false"/>
          <w:sz w:val="20"/>
        </w:rPr>
        <w:t xml:space="preserve">A </w:t>
      </w:r>
      <w:r>
        <w:rPr>
          <w:rFonts w:eastAsia="Times New Roman;Times;Serif"/>
          <w:b w:val="false"/>
          <w:i w:val="false"/>
          <w:caps w:val="false"/>
          <w:smallCaps w:val="false"/>
          <w:sz w:val="20"/>
        </w:rPr>
        <w:t xml:space="preserve">及任何工作订单，构成双方之间就本协议标的事项达成的完整协议，并取代先前向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提供的所有说明性或摘要性材料（该等材料仅为示例且不具约束力）。本协议仅可经双方签署的书面文件修订；未经另一方同意不得转让；并可分份签署，包括以电子方式签署。</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with Exhibit A and any Work Orders, constitutes the entire agreement between the Parties with respect to the subject matter hereof and supersedes all explainer or summary materials previously delivered to Launch, which are illustrative only and non-binding. This Agreement may be amended only in a writing signed by both Parties. This Agreement may not be assigned without the other Party’s consent, and may be signed in counterparts, including electronically.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(e) </w:t>
      </w:r>
      <w:r>
        <w:rPr>
          <w:rFonts w:eastAsia="Times New Roman;Times;Serif"/>
          <w:b w:val="false"/>
          <w:i w:val="false"/>
          <w:caps w:val="false"/>
          <w:smallCaps w:val="false"/>
          <w:sz w:val="20"/>
        </w:rPr>
        <w:t>文本语言。本协议以中文和英文两种文本签署，两种文本具有同等效力并同等具有约束力，双方确认两种文本旨在表达相同的含义。如两种文本之间存在任何不一致或歧义，双方应本着诚信原则，根据本协议的目的和意图对相关条款进行解释和协调；但仅就解释美国联邦证券法律、美国证券交易委员会规则及纳斯达克规则而言，以英文文本为准。</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Language</w:t>
      </w:r>
      <w:r>
        <w:rPr>
          <w:rFonts w:ascii="Times New Roman;Times;Serif" w:hAnsi="Times New Roman;Times;Serif"/>
          <w:b w:val="false"/>
          <w:i w:val="false"/>
          <w:caps w:val="false"/>
          <w:smallCaps w:val="false"/>
          <w:sz w:val="20"/>
        </w:rPr>
        <w:t>. This Agreement is executed in both Chinese and English. Both language versions are equally authentic and equally binding, and the Parties confirm that the two versions are intended to convey the same meaning. In the event of any inconsistency or ambiguity between the two versions, the Parties shall interpret and reconcile the relevant provision in good faith in accordance with the purpose and intent of this Agreement; provided that the English version shall control solely for purposes of interpreting U.S. federal securities laws, SEC rules and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(f) </w:t>
      </w:r>
      <w:r>
        <w:rPr>
          <w:rFonts w:eastAsia="Times New Roman;Times;Serif"/>
          <w:b w:val="false"/>
          <w:i w:val="false"/>
          <w:caps w:val="false"/>
          <w:smallCaps w:val="false"/>
          <w:sz w:val="20"/>
        </w:rPr>
        <w:t xml:space="preserve">双方确认，若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无法作为认股权证的受让方或行权方，</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 xml:space="preserve">可经 </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事先书面同意（不得无理拒绝） 另行指定其关联方受让该等认股权证或行使行权权利，但该等被指定主体应：</w:t>
      </w:r>
      <w:r>
        <w:rPr>
          <w:rFonts w:ascii="Times New Roman;Times;Serif" w:hAnsi="Times New Roman;Times;Serif"/>
          <w:b w:val="false"/>
          <w:i w:val="false"/>
          <w:caps w:val="false"/>
          <w:smallCaps w:val="false"/>
          <w:sz w:val="20"/>
        </w:rPr>
        <w:t xml:space="preserve">(i) </w:t>
      </w:r>
      <w:r>
        <w:rPr>
          <w:rFonts w:eastAsia="Times New Roman;Times;Serif"/>
          <w:b w:val="false"/>
          <w:i w:val="false"/>
          <w:caps w:val="false"/>
          <w:smallCaps w:val="false"/>
          <w:sz w:val="20"/>
        </w:rPr>
        <w:t xml:space="preserve">并非美国人士且符合 </w:t>
      </w:r>
      <w:r>
        <w:rPr>
          <w:rFonts w:ascii="Times New Roman;Times;Serif" w:hAnsi="Times New Roman;Times;Serif"/>
          <w:b w:val="false"/>
          <w:i w:val="false"/>
          <w:caps w:val="false"/>
          <w:smallCaps w:val="false"/>
          <w:sz w:val="20"/>
        </w:rPr>
        <w:t xml:space="preserve">S </w:t>
      </w:r>
      <w:r>
        <w:rPr>
          <w:rFonts w:eastAsia="Times New Roman;Times;Serif"/>
          <w:b w:val="false"/>
          <w:i w:val="false"/>
          <w:caps w:val="false"/>
          <w:smallCaps w:val="false"/>
          <w:sz w:val="20"/>
        </w:rPr>
        <w:t>条例的规定；</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 xml:space="preserve">(ii) </w:t>
      </w:r>
      <w:r>
        <w:rPr>
          <w:rFonts w:eastAsia="Times New Roman;Times;Serif"/>
          <w:b w:val="false"/>
          <w:i w:val="false"/>
          <w:caps w:val="false"/>
          <w:smallCaps w:val="false"/>
          <w:sz w:val="20"/>
        </w:rPr>
        <w:t xml:space="preserve">作出第 </w:t>
      </w:r>
      <w:r>
        <w:rPr>
          <w:rFonts w:ascii="Times New Roman;Times;Serif" w:hAnsi="Times New Roman;Times;Serif"/>
          <w:b w:val="false"/>
          <w:i w:val="false"/>
          <w:caps w:val="false"/>
          <w:smallCaps w:val="false"/>
          <w:sz w:val="20"/>
        </w:rPr>
        <w:t>3(d)</w:t>
      </w:r>
      <w:r>
        <w:rPr>
          <w:rFonts w:eastAsia="Times New Roman;Times;Serif"/>
          <w:b w:val="false"/>
          <w:i w:val="false"/>
          <w:caps w:val="false"/>
          <w:smallCaps w:val="false"/>
          <w:sz w:val="20"/>
        </w:rPr>
        <w:t xml:space="preserve">条及第 </w:t>
      </w:r>
      <w:r>
        <w:rPr>
          <w:rFonts w:ascii="Times New Roman;Times;Serif" w:hAnsi="Times New Roman;Times;Serif"/>
          <w:b w:val="false"/>
          <w:i w:val="false"/>
          <w:caps w:val="false"/>
          <w:smallCaps w:val="false"/>
          <w:sz w:val="20"/>
        </w:rPr>
        <w:t>3(g)</w:t>
      </w:r>
      <w:r>
        <w:rPr>
          <w:rFonts w:eastAsia="Times New Roman;Times;Serif"/>
          <w:b w:val="false"/>
          <w:i w:val="false"/>
          <w:caps w:val="false"/>
          <w:smallCaps w:val="false"/>
          <w:sz w:val="20"/>
        </w:rPr>
        <w:t>条所述的声明、保证与承诺以及</w:t>
      </w:r>
      <w:r>
        <w:rPr>
          <w:rFonts w:ascii="Times New Roman;Times;Serif" w:hAnsi="Times New Roman;Times;Serif"/>
          <w:b w:val="false"/>
          <w:i w:val="false"/>
          <w:caps w:val="false"/>
          <w:smallCaps w:val="false"/>
          <w:sz w:val="20"/>
        </w:rPr>
        <w:t xml:space="preserve">Aptera </w:t>
      </w:r>
      <w:r>
        <w:rPr>
          <w:rFonts w:eastAsia="Times New Roman;Times;Serif"/>
          <w:b w:val="false"/>
          <w:i w:val="false"/>
          <w:caps w:val="false"/>
          <w:smallCaps w:val="false"/>
          <w:sz w:val="20"/>
        </w:rPr>
        <w:t xml:space="preserve">合理要求的惯常投资声明；及 </w:t>
      </w:r>
      <w:r>
        <w:rPr>
          <w:rFonts w:ascii="Times New Roman;Times;Serif" w:hAnsi="Times New Roman;Times;Serif"/>
          <w:b w:val="false"/>
          <w:i w:val="false"/>
          <w:caps w:val="false"/>
          <w:smallCaps w:val="false"/>
          <w:sz w:val="20"/>
        </w:rPr>
        <w:t xml:space="preserve">(iii) </w:t>
      </w:r>
      <w:r>
        <w:rPr>
          <w:rFonts w:eastAsia="Times New Roman;Times;Serif"/>
          <w:b w:val="false"/>
          <w:i w:val="false"/>
          <w:caps w:val="false"/>
          <w:smallCaps w:val="false"/>
          <w:sz w:val="20"/>
        </w:rPr>
        <w:t xml:space="preserve">就第 </w:t>
      </w:r>
      <w:r>
        <w:rPr>
          <w:rFonts w:ascii="Times New Roman;Times;Serif" w:hAnsi="Times New Roman;Times;Serif"/>
          <w:b w:val="false"/>
          <w:i w:val="false"/>
          <w:caps w:val="false"/>
          <w:smallCaps w:val="false"/>
          <w:sz w:val="20"/>
        </w:rPr>
        <w:t>3(e)</w:t>
      </w:r>
      <w:r>
        <w:rPr>
          <w:rFonts w:eastAsia="Times New Roman;Times;Serif"/>
          <w:b w:val="false"/>
          <w:i w:val="false"/>
          <w:caps w:val="false"/>
          <w:smallCaps w:val="false"/>
          <w:sz w:val="20"/>
        </w:rPr>
        <w:t xml:space="preserve">条及第 </w:t>
      </w:r>
      <w:r>
        <w:rPr>
          <w:rFonts w:ascii="Times New Roman;Times;Serif" w:hAnsi="Times New Roman;Times;Serif"/>
          <w:b w:val="false"/>
          <w:i w:val="false"/>
          <w:caps w:val="false"/>
          <w:smallCaps w:val="false"/>
          <w:sz w:val="20"/>
        </w:rPr>
        <w:t>3(f)</w:t>
      </w:r>
      <w:r>
        <w:rPr>
          <w:rFonts w:eastAsia="Times New Roman;Times;Serif"/>
          <w:b w:val="false"/>
          <w:i w:val="false"/>
          <w:caps w:val="false"/>
          <w:smallCaps w:val="false"/>
          <w:sz w:val="20"/>
        </w:rPr>
        <w:t xml:space="preserve">条而言与 </w:t>
      </w:r>
      <w:r>
        <w:rPr>
          <w:rFonts w:ascii="Times New Roman;Times;Serif" w:hAnsi="Times New Roman;Times;Serif"/>
          <w:b w:val="false"/>
          <w:i w:val="false"/>
          <w:caps w:val="false"/>
          <w:smallCaps w:val="false"/>
          <w:sz w:val="20"/>
        </w:rPr>
        <w:t xml:space="preserve">Launch </w:t>
      </w:r>
      <w:r>
        <w:rPr>
          <w:rFonts w:eastAsia="Times New Roman;Times;Serif"/>
          <w:b w:val="false"/>
          <w:i w:val="false"/>
          <w:caps w:val="false"/>
          <w:smallCaps w:val="false"/>
          <w:sz w:val="20"/>
        </w:rPr>
        <w:t>合并计算。</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confirm that if Launch is unable to act as the transferee or warrant exercise party for the Warrants hereunder, Launch may, with Aptera’s prior written consent (not to be unreasonably withheld), designate an affiliate of Launch to take assignment of such Warrants or exercise the Warrant rights, provided that such designee (i) is not a U.S. person and complies with Regulation S, (ii) makes the representations, warranties and covenants set forth in Sections 3(d) and 3(g) and such customary investment representations as Aptera may reasonably require, and (iii) is aggregated with Launch for purposes of Sections 3(e) and 3(f).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eastAsia="Times New Roman;Times;Serif"/>
          <w:b w:val="false"/>
          <w:i w:val="false"/>
          <w:caps w:val="false"/>
          <w:smallCaps w:val="false"/>
          <w:sz w:val="20"/>
        </w:rPr>
      </w:pPr>
      <w:r>
        <w:rPr>
          <w:rFonts w:eastAsia="Times New Roman;Times;Serif"/>
          <w:b w:val="false"/>
          <w:i w:val="false"/>
          <w:caps w:val="false"/>
          <w:smallCaps w:val="false"/>
          <w:sz w:val="20"/>
        </w:rPr>
        <w:t>兹证明，双方已于生效日签署本协议。</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Agreement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i w:val="false"/>
          <w:caps w:val="false"/>
          <w:smallCaps w:val="false"/>
          <w:sz w:val="20"/>
        </w:rPr>
        <w:t xml:space="preserve">LAUNCH — </w:t>
      </w:r>
      <w:r>
        <w:rPr>
          <w:rFonts w:eastAsia="Times New Roman;Times;Serif"/>
          <w:b/>
          <w:i w:val="false"/>
          <w:caps w:val="false"/>
          <w:smallCaps w:val="false"/>
          <w:sz w:val="20"/>
        </w:rPr>
        <w:t xml:space="preserve">上海龙创汽车设计股份有限公司 </w:t>
      </w:r>
      <w:r>
        <w:rPr>
          <w:rFonts w:ascii="Times New Roman;Times;Serif" w:hAnsi="Times New Roman;Times;Serif"/>
          <w:b/>
          <w:i w:val="false"/>
          <w:caps w:val="false"/>
          <w:smallCaps w:val="false"/>
          <w:sz w:val="20"/>
        </w:rPr>
        <w:t>(Shanghai Launch Automotive Technology Co., Ltd.)</w:t>
      </w:r>
    </w:p>
    <w:p>
      <w:pPr>
        <w:pStyle w:val="TextBody"/>
        <w:bidi w:val="0"/>
        <w:spacing w:before="0" w:after="0"/>
        <w:ind w:left="0" w:right="0" w:hanging="0"/>
        <w:jc w:val="both"/>
        <w:rPr>
          <w:caps w:val="false"/>
          <w:smallCaps w:val="false"/>
        </w:rPr>
      </w:pPr>
      <w:r>
        <w:rPr>
          <w:caps w:val="false"/>
          <w:smallCaps w:val="false"/>
        </w:rPr>
        <w:t> </w:t>
      </w:r>
    </w:p>
    <w:tbl>
      <w:tblPr>
        <w:tblW w:w="3470" w:type="dxa"/>
        <w:jc w:val="left"/>
        <w:tblInd w:w="0" w:type="dxa"/>
        <w:tblLayout w:type="fixed"/>
        <w:tblCellMar>
          <w:top w:w="0" w:type="dxa"/>
          <w:left w:w="0" w:type="dxa"/>
          <w:bottom w:w="0" w:type="dxa"/>
          <w:right w:w="0" w:type="dxa"/>
        </w:tblCellMar>
      </w:tblPr>
      <w:tblGrid>
        <w:gridCol w:w="485"/>
        <w:gridCol w:w="1280"/>
        <w:gridCol w:w="60"/>
        <w:gridCol w:w="545"/>
        <w:gridCol w:w="1100"/>
      </w:tblGrid>
      <w:tr>
        <w:trPr/>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2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Yu Wenxuan</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Wenxuan</w:t>
            </w:r>
          </w:p>
        </w:tc>
      </w:tr>
      <w:tr>
        <w:trPr/>
        <w:tc>
          <w:tcPr>
            <w:tcW w:w="48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manager</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8/14/2026</w:t>
            </w:r>
          </w:p>
        </w:tc>
      </w:tr>
    </w:tbl>
    <w:p>
      <w:pPr>
        <w:pStyle w:val="TextBody"/>
        <w:bidi w:val="0"/>
        <w:spacing w:before="0" w:after="283"/>
        <w:jc w:val="left"/>
        <w:rPr/>
      </w:pPr>
      <w:r>
        <w:rPr/>
        <w:t> </w:t>
      </w:r>
    </w:p>
    <w:tbl>
      <w:tblPr>
        <w:tblW w:w="8755" w:type="dxa"/>
        <w:jc w:val="left"/>
        <w:tblInd w:w="0" w:type="dxa"/>
        <w:tblLayout w:type="fixed"/>
        <w:tblCellMar>
          <w:top w:w="0" w:type="dxa"/>
          <w:left w:w="0" w:type="dxa"/>
          <w:bottom w:w="0" w:type="dxa"/>
          <w:right w:w="0" w:type="dxa"/>
        </w:tblCellMar>
      </w:tblPr>
      <w:tblGrid>
        <w:gridCol w:w="1640"/>
        <w:gridCol w:w="7040"/>
        <w:gridCol w:w="75"/>
      </w:tblGrid>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4, No. 1881, Laiyin Road, Jiuting Town, Songjiang District, Shanghai, China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 Aptera Motors Corp.</w:t>
      </w:r>
    </w:p>
    <w:p>
      <w:pPr>
        <w:pStyle w:val="TextBody"/>
        <w:bidi w:val="0"/>
        <w:spacing w:before="0" w:after="0"/>
        <w:ind w:left="0" w:right="0" w:hanging="0"/>
        <w:jc w:val="both"/>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530"/>
        <w:gridCol w:w="1445"/>
        <w:gridCol w:w="60"/>
        <w:gridCol w:w="545"/>
        <w:gridCol w:w="1445"/>
      </w:tblGrid>
      <w:tr>
        <w:trPr/>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44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Chris Anthony</w:t>
            </w:r>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14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4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Co-CEO</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8/14/2026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5818 El Camino Real Carlsbad, CA 92008</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28392</Words>
  <Characters>78453</Characters>
  <CharactersWithSpaces>90591</CharactersWithSpaces>
  <Paragraphs>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