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7,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28" w:type="dxa"/>
          <w:right w:w="0" w:type="dxa"/>
        </w:tblCellMar>
      </w:tblPr>
      <w:tblGrid>
        <w:gridCol w:w="2660"/>
        <w:gridCol w:w="60"/>
        <w:gridCol w:w="2525"/>
        <w:gridCol w:w="60"/>
        <w:gridCol w:w="1970"/>
      </w:tblGrid>
      <w:tr>
        <w:trPr/>
        <w:tc>
          <w:tcPr>
            <w:tcW w:w="26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3751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83-4079594</w:t>
            </w:r>
          </w:p>
        </w:tc>
      </w:tr>
      <w:tr>
        <w:trPr/>
        <w:tc>
          <w:tcPr>
            <w:tcW w:w="266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Carlsbad, California 92008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858-371-3151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Chris Anthony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5818 El Camino Real</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Carlsbad, California 92008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858-371-3151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tbl>
      <w:tblPr>
        <w:tblW w:w="2510" w:type="dxa"/>
        <w:jc w:val="left"/>
        <w:tblInd w:w="0" w:type="dxa"/>
        <w:tblLayout w:type="fixed"/>
        <w:tblCellMar>
          <w:top w:w="0" w:type="dxa"/>
          <w:left w:w="0" w:type="dxa"/>
          <w:bottom w:w="0" w:type="dxa"/>
          <w:right w:w="0" w:type="dxa"/>
        </w:tblCellMar>
      </w:tblPr>
      <w:tblGrid>
        <w:gridCol w:w="2510"/>
      </w:tblGrid>
      <w:tr>
        <w:trPr/>
        <w:tc>
          <w:tcPr>
            <w:tcW w:w="25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Traci M. Tomaselli,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L. Forman,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G. Zapf, Esq.</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Lowenstein Sandler LLP</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1251 Avenue of the Americas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10020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(646) 414-6926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From time to time after this Registration Statement becomes effective, as determined by the 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as amended, or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in this preliminary prospectus is not complete and may be changed. The Selling Stockholders may not resell these securities until the registration statement filed with the Securities and Exchange Commission is effective. This preliminary prospectus is not an offer to sell these securities, nor is it a solicitation of offers to buy these securities, in any state where the offer or sale is not permitted.</w:t>
      </w:r>
    </w:p>
    <w:p>
      <w:pPr>
        <w:pStyle w:val="TextBody"/>
        <w:bidi w:val="0"/>
        <w:spacing w:before="0" w:after="0"/>
        <w:ind w:left="0" w:right="0" w:hanging="0"/>
        <w:jc w:val="both"/>
        <w:rPr>
          <w:caps w:val="false"/>
          <w:smallCaps w:val="false"/>
          <w:color w:val="FF0000"/>
        </w:rPr>
      </w:pPr>
      <w:r>
        <w:rPr>
          <w:caps w:val="false"/>
          <w:smallCaps w:val="false"/>
          <w:color w:val="FF0000"/>
        </w:rPr>
        <w:t> </w:t>
      </w:r>
    </w:p>
    <w:tbl>
      <w:tblPr>
        <w:tblW w:w="7590" w:type="dxa"/>
        <w:jc w:val="left"/>
        <w:tblInd w:w="0" w:type="dxa"/>
        <w:tblLayout w:type="fixed"/>
        <w:tblCellMar>
          <w:top w:w="0" w:type="dxa"/>
          <w:left w:w="0" w:type="dxa"/>
          <w:bottom w:w="0" w:type="dxa"/>
          <w:right w:w="0" w:type="dxa"/>
        </w:tblCellMar>
      </w:tblPr>
      <w:tblGrid>
        <w:gridCol w:w="2750"/>
        <w:gridCol w:w="2630"/>
        <w:gridCol w:w="2210"/>
      </w:tblGrid>
      <w:tr>
        <w:trPr/>
        <w:tc>
          <w:tcPr>
            <w:tcW w:w="275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263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DATED AUGUST 7,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94690" cy="6946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94690" cy="69469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4,320,000 Shares of 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 Upon Exercise of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up to 4,320,000 shares of Aptera Motors Corp. (the “Company,” “we,” “our” or “us”) Class B common stock, par value $0.0001 per share (the “Common Stock”), by the Selling Stockholders listed in this prospectus or their permitted transferees (the “Selling Stockholders”). The shares of Common Stock registered for resale pursuant to this prospectus consist of 4,320,000 shares of Common Stock issuable upon the exercise of warrants (the “Warrants”). The Warrants were issued to the Selling Stockholders in a private placement offering (the “Private Placement”) which closed on July 13,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additional information about the Private Placement, see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have an exercise price of $2.25 per share. The Warrants will be exercisable beginning on January 13, 2027 (the “Initial Exercise Date”), and will expire on the five (5) year anniversary of the Initial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sell, transfer or otherwise dispose of any or all of their shares of Common Stock or interests in their shares of Common Stock on any stock exchange, market or trading facility on which the shares of Common Stock are traded or in private transactions. These dispositions may be at fixed prices, at prevailing market prices at the time of sale, at prices related to the prevailing market price, at varying prices determined at the time of sale, or at negotiated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in this prospectus for more information. We will not receive any proceeds from the resale or other disposition of the shares of Common Stock by the Selling Stockholders. However, we will receive the proceeds of any cash exercise of the Warrants.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beginning on page 10 and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beginning on page 11 of this prospectus for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listed on The Nasdaq Capital Market (“Nasdaq”) under the symbol “SEV.” On August 6, 2026, the last reported sale price of our Common Stock as reported on Nasdaq was $2.12.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together with additional information described under the headings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carefully before you invest in any of our securities.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investment in our securities involves a high degree of risk. Before deciding whether to invest in our securities, you should consider carefully the risks and uncertainties described in the section captioned “</w:t>
      </w:r>
      <w:r>
        <w:rPr>
          <w:rFonts w:ascii="Times New Roman;Times;Serif" w:hAnsi="Times New Roman;Times;Serif"/>
          <w:b/>
          <w:i/>
          <w:caps w:val="false"/>
          <w:smallCaps w:val="false"/>
          <w:sz w:val="20"/>
        </w:rPr>
        <w:t>Risk Factors</w:t>
      </w:r>
      <w:r>
        <w:rPr>
          <w:rFonts w:ascii="Times New Roman;Times;Serif" w:hAnsi="Times New Roman;Times;Serif"/>
          <w:b/>
          <w:i w:val="false"/>
          <w:caps w:val="false"/>
          <w:smallCaps w:val="false"/>
          <w:sz w:val="20"/>
        </w:rPr>
        <w:t>” contained in our Annual Report on Form 10-K for the fiscal year ended December 31, 2025, filed with the Securities and Exchange Commission, or the SEC, on March 30, 2026 and our other filings we make with the Securities and Exchange Commission from time to time, which are incorporated by reference herein in their entirety, together with other information in this prospectus and the information incorporated by reference herein.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245"/>
        <w:gridCol w:w="245"/>
      </w:tblGrid>
      <w:tr>
        <w:trPr/>
        <w:tc>
          <w:tcPr>
            <w:tcW w:w="6245" w:type="dxa"/>
            <w:tcBorders/>
            <w:shd w:fill="CCEEFF" w:val="clear"/>
            <w:vAlign w:val="center"/>
          </w:tcPr>
          <w:p>
            <w:pPr>
              <w:pStyle w:val="TableContents"/>
              <w:bidi w:val="0"/>
              <w:spacing w:before="0" w:after="283"/>
              <w:jc w:val="both"/>
              <w:rPr/>
            </w:pPr>
            <w:hyperlink w:anchor="pp_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245" w:type="dxa"/>
            <w:tcBorders/>
            <w:shd w:fill="FFFFFF" w:val="clear"/>
            <w:vAlign w:val="center"/>
          </w:tcPr>
          <w:p>
            <w:pPr>
              <w:pStyle w:val="TableContents"/>
              <w:bidi w:val="0"/>
              <w:spacing w:before="0" w:after="283"/>
              <w:jc w:val="both"/>
              <w:rPr/>
            </w:pPr>
            <w:hyperlink w:anchor="pp_003">
              <w:r>
                <w:rPr>
                  <w:rStyle w:val="InternetLink"/>
                  <w:rFonts w:ascii="Times New Roman;Times;Serif" w:hAnsi="Times New Roman;Times;Serif"/>
                  <w:b w:val="false"/>
                  <w:i w:val="false"/>
                  <w:caps w:val="false"/>
                  <w:smallCaps w:val="false"/>
                  <w:sz w:val="20"/>
                </w:rPr>
                <w:t>RISK FACTORS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245" w:type="dxa"/>
            <w:tcBorders/>
            <w:shd w:fill="CCEEFF" w:val="clear"/>
            <w:vAlign w:val="center"/>
          </w:tcPr>
          <w:p>
            <w:pPr>
              <w:pStyle w:val="TableContents"/>
              <w:bidi w:val="0"/>
              <w:spacing w:before="0" w:after="283"/>
              <w:jc w:val="both"/>
              <w:rPr/>
            </w:pPr>
            <w:hyperlink w:anchor="pp_004">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245" w:type="dxa"/>
            <w:tcBorders/>
            <w:shd w:fill="FFFFFF" w:val="clear"/>
            <w:vAlign w:val="center"/>
          </w:tcPr>
          <w:p>
            <w:pPr>
              <w:pStyle w:val="TableContents"/>
              <w:bidi w:val="0"/>
              <w:spacing w:before="0" w:after="283"/>
              <w:jc w:val="both"/>
              <w:rPr/>
            </w:pPr>
            <w:hyperlink w:anchor="pp_005">
              <w:r>
                <w:rPr>
                  <w:rStyle w:val="InternetLink"/>
                  <w:rFonts w:ascii="Times New Roman;Times;Serif" w:hAnsi="Times New Roman;Times;Serif"/>
                  <w:b w:val="false"/>
                  <w:i w:val="false"/>
                  <w:caps w:val="false"/>
                  <w:smallCaps w:val="false"/>
                  <w:sz w:val="20"/>
                </w:rPr>
                <w:t>PRIVATE PLACEMENT</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245" w:type="dxa"/>
            <w:tcBorders/>
            <w:shd w:fill="CCEEFF" w:val="clear"/>
            <w:vAlign w:val="center"/>
          </w:tcPr>
          <w:p>
            <w:pPr>
              <w:pStyle w:val="TableContents"/>
              <w:bidi w:val="0"/>
              <w:spacing w:before="0" w:after="283"/>
              <w:jc w:val="both"/>
              <w:rPr/>
            </w:pPr>
            <w:hyperlink w:anchor="pp_006">
              <w:r>
                <w:rPr>
                  <w:rStyle w:val="InternetLink"/>
                  <w:rFonts w:ascii="Times New Roman;Times;Serif" w:hAnsi="Times New Roman;Times;Serif"/>
                  <w:b w:val="false"/>
                  <w:i w:val="false"/>
                  <w:caps w:val="false"/>
                  <w:smallCaps w:val="false"/>
                  <w:sz w:val="20"/>
                </w:rPr>
                <w:t>SELLING STOCKHOLDERS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245" w:type="dxa"/>
            <w:tcBorders/>
            <w:shd w:fill="FFFFFF" w:val="clear"/>
            <w:vAlign w:val="center"/>
          </w:tcPr>
          <w:p>
            <w:pPr>
              <w:pStyle w:val="TableContents"/>
              <w:bidi w:val="0"/>
              <w:spacing w:before="0" w:after="283"/>
              <w:jc w:val="both"/>
              <w:rPr/>
            </w:pPr>
            <w:hyperlink w:anchor="pp_007">
              <w:r>
                <w:rPr>
                  <w:rStyle w:val="InternetLink"/>
                  <w:rFonts w:ascii="Times New Roman;Times;Serif" w:hAnsi="Times New Roman;Times;Serif"/>
                  <w:b w:val="false"/>
                  <w:i w:val="false"/>
                  <w:caps w:val="false"/>
                  <w:smallCaps w:val="false"/>
                  <w:sz w:val="20"/>
                </w:rPr>
                <w:t>USE OF PROCEEDS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6245" w:type="dxa"/>
            <w:tcBorders/>
            <w:shd w:fill="CCEEFF" w:val="clear"/>
            <w:vAlign w:val="center"/>
          </w:tcPr>
          <w:p>
            <w:pPr>
              <w:pStyle w:val="TableContents"/>
              <w:bidi w:val="0"/>
              <w:spacing w:before="0" w:after="283"/>
              <w:jc w:val="both"/>
              <w:rPr/>
            </w:pPr>
            <w:hyperlink w:anchor="pp_009">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245" w:type="dxa"/>
            <w:tcBorders/>
            <w:shd w:fill="FFFFFF" w:val="clear"/>
            <w:vAlign w:val="center"/>
          </w:tcPr>
          <w:p>
            <w:pPr>
              <w:pStyle w:val="TableContents"/>
              <w:bidi w:val="0"/>
              <w:spacing w:before="0" w:after="283"/>
              <w:jc w:val="both"/>
              <w:rPr/>
            </w:pPr>
            <w:hyperlink w:anchor="pp_010">
              <w:r>
                <w:rPr>
                  <w:rStyle w:val="InternetLink"/>
                  <w:rFonts w:ascii="Times New Roman;Times;Serif" w:hAnsi="Times New Roman;Times;Serif"/>
                  <w:b w:val="false"/>
                  <w:i w:val="false"/>
                  <w:caps w:val="false"/>
                  <w:smallCaps w:val="false"/>
                  <w:sz w:val="20"/>
                </w:rPr>
                <w:t>DESCRIPTION OF SECURITIES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245" w:type="dxa"/>
            <w:tcBorders/>
            <w:shd w:fill="CCEEFF" w:val="clear"/>
            <w:vAlign w:val="center"/>
          </w:tcPr>
          <w:p>
            <w:pPr>
              <w:pStyle w:val="TableContents"/>
              <w:bidi w:val="0"/>
              <w:spacing w:before="0" w:after="283"/>
              <w:jc w:val="both"/>
              <w:rPr/>
            </w:pPr>
            <w:hyperlink w:anchor="pp_011">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FFFFFF" w:val="clear"/>
            <w:vAlign w:val="center"/>
          </w:tcPr>
          <w:p>
            <w:pPr>
              <w:pStyle w:val="TableContents"/>
              <w:bidi w:val="0"/>
              <w:spacing w:before="0" w:after="283"/>
              <w:jc w:val="both"/>
              <w:rPr/>
            </w:pPr>
            <w:hyperlink w:anchor="pp_012">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CCEEFF" w:val="clear"/>
            <w:vAlign w:val="center"/>
          </w:tcPr>
          <w:p>
            <w:pPr>
              <w:pStyle w:val="TableContents"/>
              <w:bidi w:val="0"/>
              <w:spacing w:before="0" w:after="283"/>
              <w:jc w:val="both"/>
              <w:rPr/>
            </w:pPr>
            <w:hyperlink w:anchor="pp_013">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245" w:type="dxa"/>
            <w:tcBorders/>
            <w:shd w:fill="FFFFFF" w:val="clear"/>
            <w:vAlign w:val="center"/>
          </w:tcPr>
          <w:p>
            <w:pPr>
              <w:pStyle w:val="TableContents"/>
              <w:bidi w:val="0"/>
              <w:spacing w:before="0" w:after="283"/>
              <w:jc w:val="both"/>
              <w:rPr/>
            </w:pPr>
            <w:hyperlink w:anchor="pp_014">
              <w:r>
                <w:rPr>
                  <w:rStyle w:val="InternetLink"/>
                  <w:rFonts w:ascii="Times New Roman;Times;Serif" w:hAnsi="Times New Roman;Times;Serif"/>
                  <w:b w:val="false"/>
                  <w:i w:val="false"/>
                  <w:caps w:val="false"/>
                  <w:smallCaps w:val="false"/>
                  <w:sz w:val="20"/>
                </w:rPr>
                <w:t>INCORPORATION OF CERTAIN INFORMATION BY REFERENCE</w:t>
              </w:r>
            </w:hyperlink>
          </w:p>
        </w:tc>
        <w:tc>
          <w:tcPr>
            <w:tcW w:w="2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pp_002"/>
      <w:bookmarkEnd w:id="2"/>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information contained elsewhere in this prospectus and the documents incorporated by reference herein. This summary does not contain all of the information that you should consider before deciding to invest in our securities. You should read this entire prospectus carefully, including the section entitled “Risk Factors” beginning on page 5, our consolidated financial statements and the related notes and the other information incorporated by reference into this prospectus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automotive technology company focused on developing and manufacturing highly efficient solar electric vehicles (SEVs). Our flagship vehicle, the Aptera, is a three-wheeled, two-passenger vehicle designed for efficiency and sustainability. We believe Aptera’s unique design, incorporating solar charging capabilities and aerodynamic efficiency, will offer a compelling alternative to conventional vehicles.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generate revenue primarily through the sale of our SEVs. Our current focus is on completing the development and commencing production of the Aptera. To date, we have not commenced production of our SEVs. We plan to offer various Aptera models with different features and price points. We may also explore other revenue streams in the future, such as providing charging infrastructure or developing related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Aptera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Aptera is designed to be a highly efficient vehicle, minimizing energy consumption through its aerodynamic design and lightweight construction. Its integrated solar panels are intended to supplement battery charging, potentially allowing drivers to travel significant distances using only solar power. The Aptera is designed to be a practical and sustainable transportation solution for daily commuting and other driving needs.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Advantages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Aptera offers several competitive advantages, including:</w:t>
      </w:r>
    </w:p>
    <w:p>
      <w:pPr>
        <w:pStyle w:val="TextBody"/>
        <w:bidi w:val="0"/>
        <w:spacing w:before="0" w:after="0"/>
        <w:ind w:left="0" w:right="0" w:hanging="0"/>
        <w:jc w:val="both"/>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75"/>
        <w:gridCol w:w="170"/>
        <w:gridCol w:w="983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8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High Efficiency:</w:t>
            </w:r>
            <w:r>
              <w:rPr>
                <w:rFonts w:ascii="Times New Roman;Times;Serif" w:hAnsi="Times New Roman;Times;Serif"/>
                <w:b w:val="false"/>
                <w:i w:val="false"/>
                <w:caps w:val="false"/>
                <w:smallCaps w:val="false"/>
                <w:sz w:val="20"/>
              </w:rPr>
              <w:t xml:space="preserve"> The Aptera’s aerodynamic design and lightweight construction contribute to its high energy efficiency.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Solar Charging:</w:t>
            </w:r>
            <w:r>
              <w:rPr>
                <w:rFonts w:ascii="Times New Roman;Times;Serif" w:hAnsi="Times New Roman;Times;Serif"/>
                <w:b w:val="false"/>
                <w:i w:val="false"/>
                <w:caps w:val="false"/>
                <w:smallCaps w:val="false"/>
                <w:sz w:val="20"/>
              </w:rPr>
              <w:t xml:space="preserve"> Integrated solar panels provide supplemental charging, potentially reducing reliance on traditional charging infrastructure.</w:t>
            </w:r>
          </w:p>
        </w:tc>
      </w:tr>
    </w:tbl>
    <w:p>
      <w:pPr>
        <w:pStyle w:val="TextBody"/>
        <w:bidi w:val="0"/>
        <w:spacing w:before="0" w:after="0"/>
        <w:ind w:left="720" w:right="0" w:hanging="360"/>
        <w:jc w:val="both"/>
        <w:rPr>
          <w:caps w:val="false"/>
          <w:smallCaps w:val="false"/>
        </w:rPr>
      </w:pPr>
      <w:r>
        <w:rPr>
          <w:caps w:val="false"/>
          <w:smallCaps w:val="false"/>
        </w:rPr>
        <w:t> </w:t>
      </w:r>
    </w:p>
    <w:tbl>
      <w:tblPr>
        <w:tblW w:w="8905" w:type="dxa"/>
        <w:jc w:val="left"/>
        <w:tblInd w:w="0" w:type="dxa"/>
        <w:tblLayout w:type="fixed"/>
        <w:tblCellMar>
          <w:top w:w="0" w:type="dxa"/>
          <w:left w:w="0" w:type="dxa"/>
          <w:bottom w:w="0" w:type="dxa"/>
          <w:right w:w="0" w:type="dxa"/>
        </w:tblCellMar>
      </w:tblPr>
      <w:tblGrid>
        <w:gridCol w:w="75"/>
        <w:gridCol w:w="170"/>
        <w:gridCol w:w="86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6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Unique Design:</w:t>
            </w:r>
            <w:r>
              <w:rPr>
                <w:rFonts w:ascii="Times New Roman;Times;Serif" w:hAnsi="Times New Roman;Times;Serif"/>
                <w:b w:val="false"/>
                <w:i w:val="false"/>
                <w:caps w:val="false"/>
                <w:smallCaps w:val="false"/>
                <w:sz w:val="20"/>
              </w:rPr>
              <w:t xml:space="preserve"> The Aptera’s distinctive three-wheeled design differentiates it from conventional vehicles.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Sustainability: </w:t>
            </w:r>
            <w:r>
              <w:rPr>
                <w:rFonts w:ascii="Times New Roman;Times;Serif" w:hAnsi="Times New Roman;Times;Serif"/>
                <w:b w:val="false"/>
                <w:i w:val="false"/>
                <w:caps w:val="false"/>
                <w:smallCaps w:val="false"/>
                <w:sz w:val="20"/>
              </w:rPr>
              <w:t>The Aptera’s electric powertrain and solar charging capabilities contribute to a reduced environmental footprint.</w:t>
            </w:r>
          </w:p>
        </w:tc>
      </w:tr>
    </w:tbl>
    <w:p>
      <w:pPr>
        <w:pStyle w:val="TextBody"/>
        <w:bidi w:val="0"/>
        <w:spacing w:before="0" w:after="0"/>
        <w:ind w:left="72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Challenges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numerous challenges in developing and commercializing the Aptera, including:</w:t>
      </w:r>
    </w:p>
    <w:p>
      <w:pPr>
        <w:pStyle w:val="TextBody"/>
        <w:bidi w:val="0"/>
        <w:spacing w:before="0" w:after="0"/>
        <w:ind w:left="0" w:right="0" w:hanging="0"/>
        <w:jc w:val="both"/>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75"/>
        <w:gridCol w:w="170"/>
        <w:gridCol w:w="951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Production: </w:t>
            </w:r>
            <w:r>
              <w:rPr>
                <w:rFonts w:ascii="Times New Roman;Times;Serif" w:hAnsi="Times New Roman;Times;Serif"/>
                <w:b w:val="false"/>
                <w:i w:val="false"/>
                <w:caps w:val="false"/>
                <w:smallCaps w:val="false"/>
                <w:sz w:val="20"/>
              </w:rPr>
              <w:t>We have not yet commenced production of the Aptera and face risks associated with scaling production.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Competition: </w:t>
            </w:r>
            <w:r>
              <w:rPr>
                <w:rFonts w:ascii="Times New Roman;Times;Serif" w:hAnsi="Times New Roman;Times;Serif"/>
                <w:b w:val="false"/>
                <w:i w:val="false"/>
                <w:caps w:val="false"/>
                <w:smallCaps w:val="false"/>
                <w:sz w:val="20"/>
              </w:rPr>
              <w:t>The passenger vehicle industry is highly competitive, and we face competition from established automakers and other electric vehicle manufacturers.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Technology: </w:t>
            </w:r>
            <w:r>
              <w:rPr>
                <w:rFonts w:ascii="Times New Roman;Times;Serif" w:hAnsi="Times New Roman;Times;Serif"/>
                <w:b w:val="false"/>
                <w:i w:val="false"/>
                <w:caps w:val="false"/>
                <w:smallCaps w:val="false"/>
                <w:sz w:val="20"/>
              </w:rPr>
              <w:t>The development of advanced technologies, such as solar charging and battery systems, involves technical risks.</w:t>
            </w:r>
          </w:p>
        </w:tc>
      </w:tr>
    </w:tbl>
    <w:p>
      <w:pPr>
        <w:pStyle w:val="TextBody"/>
        <w:bidi w:val="0"/>
        <w:spacing w:before="0" w:after="0"/>
        <w:ind w:left="720" w:right="0" w:hanging="360"/>
        <w:jc w:val="both"/>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Funding: </w:t>
            </w:r>
            <w:r>
              <w:rPr>
                <w:rFonts w:ascii="Times New Roman;Times;Serif" w:hAnsi="Times New Roman;Times;Serif"/>
                <w:b w:val="false"/>
                <w:i w:val="false"/>
                <w:caps w:val="false"/>
                <w:smallCaps w:val="false"/>
                <w:sz w:val="20"/>
              </w:rPr>
              <w:t>We will require significant additional capital to fund our operations and achieve our business objectives.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 was formed on March 4, 2019, under the laws of the state of Delaware, and is a public benefit corporation in Delaware. Our headquarters are located in Carlsbad, California. Our website address is www.aptera.us.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Capital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classes of authorized common stock - Class B common stock and Class A common stock. The rights of the holders of Class A common stock and Class B common stock are identical, except that our Class B common stock is non-voting and is not entitled to any votes on any matter that is submitted to a vote of our stockholders, except as required by Delaware law. Each share of Class A common stock is entitled to one vote and is convertible at any time into one share of Class B common stock. The Class B common stock has no voting rights, except as required by Delaware General Corporation Law. However, upon and following the Final Conversion Date, defined as the date that no shares of Class A common stock remain outstanding, holders of Class B common stock will be entitled to one vote per share.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 See “</w:t>
      </w:r>
      <w:r>
        <w:rPr>
          <w:rFonts w:ascii="Times New Roman;Times;Serif" w:hAnsi="Times New Roman;Times;Serif"/>
          <w:b w:val="false"/>
          <w:i/>
          <w:caps w:val="false"/>
          <w:smallCaps w:val="false"/>
          <w:sz w:val="20"/>
        </w:rPr>
        <w:t>Description of Capital Stock - Common Stock - Voting Rights” and “Description of Capital Stock - Preferred Stock - 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Channels for Disclosure of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announce material information to the public through filings with the SEC, the investor relations page on our website (www.aptera.us), press releases, public conference calls, public webcasts, and our social media pages. The information contained on, or that can be accessed through, our website is not incorporated by reference into, and is not a part of, this prospectus. Investors should not rely on any such information in deciding whether to purchase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by the foregoing channels could be deemed to be material information. As such, we encourage investors, the media, and others to follow the channels listed above and to review the information disclosed through such channels.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updates to the list of disclosure channels through which we will announce information will be posted on the investor relations page on our website.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Implications of Being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our most recently completed fiscal year, we qualify as an “emerging growth company” as defined in Section 2(a) of the Securities Act as modified by the Jumpstart Our Business Startups Act of 2012, or the JOBS Act. As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specified reduced disclosure and other requirements that are otherwise applicable, in general, to public companies that are not emerging growth companies. These provisions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being permitted to present only two years of audited financial statements and only two years of related Management’s Discussion and Analysis of Financial Condition and Results of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compliance with the auditor attestation requirement on the effectiveness of our internal control over financial reporting pursuant to the Sarbanes-Oxley Act of 2002;</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tc>
      </w:tr>
    </w:tbl>
    <w:p>
      <w:pPr>
        <w:pStyle w:val="TextBody"/>
        <w:bidi w:val="0"/>
        <w:spacing w:before="0" w:after="0"/>
        <w:ind w:left="720" w:right="0" w:hanging="360"/>
        <w:jc w:val="both"/>
        <w:rPr>
          <w:caps w:val="false"/>
          <w:smallCaps w:val="false"/>
        </w:rPr>
      </w:pPr>
      <w:r>
        <w:rPr>
          <w:caps w:val="false"/>
          <w:smallCaps w:val="false"/>
        </w:rPr>
        <w:t> </w:t>
      </w:r>
    </w:p>
    <w:tbl>
      <w:tblPr>
        <w:tblW w:w="6805" w:type="dxa"/>
        <w:jc w:val="left"/>
        <w:tblInd w:w="0" w:type="dxa"/>
        <w:tblLayout w:type="fixed"/>
        <w:tblCellMar>
          <w:top w:w="0" w:type="dxa"/>
          <w:left w:w="0" w:type="dxa"/>
          <w:bottom w:w="0" w:type="dxa"/>
          <w:right w:w="0" w:type="dxa"/>
        </w:tblCellMar>
      </w:tblPr>
      <w:tblGrid>
        <w:gridCol w:w="75"/>
        <w:gridCol w:w="170"/>
        <w:gridCol w:w="65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obligations about our executive compensation arrangements;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the requirements to obtain a non-binding advisory vote on executive compensation or a stockholder approval of any golden parachute arrangements; and</w:t>
            </w:r>
          </w:p>
        </w:tc>
      </w:tr>
    </w:tbl>
    <w:p>
      <w:pPr>
        <w:pStyle w:val="TextBody"/>
        <w:bidi w:val="0"/>
        <w:spacing w:before="0" w:after="0"/>
        <w:ind w:left="720" w:right="0" w:hanging="360"/>
        <w:jc w:val="both"/>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75"/>
        <w:gridCol w:w="170"/>
        <w:gridCol w:w="68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8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extended transition periods for complying with new or revised accounting standards.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earliest to occur of: (1) the last day of the fiscal year in which we have more than $1.235 billion in annual revenue; (2) the date we qualify as a “large accelerated filer,” with at least $700 million of equity securities held by non-affiliates; (3) the date on which we have issued, in any three-year period, more than $1.0 billion in non-convertible debt securities; and (4) the last day of the fiscal year ending after the fifth anniversary of the date of our first public equity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exemptions until such time as we are no longer an emerging growth company. Accordingly, the information contained herein may be different than the information you receive from other public companies in which you hold stock. Further, pursuant to Section 107 of the JOBS Act, as an emerging growth company, we have elected to take advantage of the extended transition period for complying with new or revised accounting standards until those standards would otherwise apply to private companies. As a result, our operating results and financial statements may not be comparable to the operating results and financial statements of other companies that have adopted the new or revised accounting standards. It is possible that some investors will find our Class B common stock less attractive as a result, which may result in a less active trading market for our Class B common stock and higher volatility in the stock price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Public Benefit Corporation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demonstration of our long-term commitment to promote solar mobility and to work towards positively impacting the communities in which we operate, we are treated as a public benefit corporation under Delaware law. As provided in the Amended &amp; Restated Certificate of Incorporation (our “Amended Charter”), the public benefits that we promote, and pursuant to which we manage our Company, are to break the chains of energy dependence by championing solar mobility-liberating communities, restoring sustainability, and forging a future where power belongs to the people. Being a public benefit corporation underscores our commitment to our purpose and our stakeholders, including consumers and customers, communities, and stockholders. See the section titled “</w:t>
      </w:r>
      <w:r>
        <w:rPr>
          <w:rFonts w:ascii="Times New Roman;Times;Serif" w:hAnsi="Times New Roman;Times;Serif"/>
          <w:b w:val="false"/>
          <w:i/>
          <w:caps w:val="false"/>
          <w:smallCaps w:val="false"/>
          <w:sz w:val="20"/>
        </w:rPr>
        <w:t>Description of Capital Stock-Public Benefit Corporation Status</w:t>
      </w:r>
      <w:r>
        <w:rPr>
          <w:rFonts w:ascii="Times New Roman;Times;Serif" w:hAnsi="Times New Roman;Times;Serif"/>
          <w:b w:val="false"/>
          <w:i w:val="false"/>
          <w:caps w:val="false"/>
          <w:smallCaps w:val="false"/>
          <w:sz w:val="20"/>
        </w:rPr>
        <w:t>”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Nasdaq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(“Nasdaq”) under the symbol “SEV.”</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7"/>
        <w:gridCol w:w="60"/>
        <w:gridCol w:w="8378"/>
      </w:tblGrid>
      <w:tr>
        <w:trPr/>
        <w:tc>
          <w:tcPr>
            <w:tcW w:w="17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offered by the Selling Stockholders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 to 4,320,000 shares of Common Stock issuable upon exercise of the Warrants. </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shares of Common Stock offered by the Selling Stockholders pursuant to this prospectus. However, we will receive the proceeds of any cash exercise of the Warrants. We intend to use the net proceeds from any cash exercise of the Warrants for working capital and general corporate purposes. Please see the section entitled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 on page 10 of this prospectus for a more detailed discussion.</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National Securities Exchange Listing</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Common Stock is currently listed on Nasdaq under the symbol “SEV”. </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7" w:type="dxa"/>
            <w:tcBorders/>
            <w:vAlign w:val="center"/>
          </w:tcPr>
          <w:p>
            <w:pPr>
              <w:pStyle w:val="TableContents"/>
              <w:bidi w:val="0"/>
              <w:spacing w:before="0" w:after="283"/>
              <w:jc w:val="both"/>
              <w:rPr>
                <w:caps w:val="false"/>
                <w:smallCaps w:val="false"/>
              </w:rPr>
            </w:pPr>
            <w:r>
              <w:rPr>
                <w:caps w:val="false"/>
                <w:smallCaps w:val="false"/>
              </w:rPr>
              <w:t> </w:t>
            </w:r>
            <w:r>
              <w:rPr>
                <w:rFonts w:ascii="Times New Roman;Times;Serif" w:hAnsi="Times New Roman;Times;Serif"/>
                <w:b/>
                <w:i w:val="false"/>
                <w:caps w:val="false"/>
                <w:smallCaps w:val="false"/>
                <w:sz w:val="20"/>
              </w:rPr>
              <w:t>Risk Factors</w:t>
            </w:r>
          </w:p>
        </w:tc>
        <w:tc>
          <w:tcPr>
            <w:tcW w:w="60" w:type="dxa"/>
            <w:tcBorders/>
            <w:vAlign w:val="center"/>
          </w:tcPr>
          <w:p>
            <w:pPr>
              <w:pStyle w:val="TableContents"/>
              <w:bidi w:val="0"/>
              <w:spacing w:before="0" w:after="283"/>
              <w:jc w:val="both"/>
              <w:rPr>
                <w:caps w:val="false"/>
                <w:smallCaps w:val="false"/>
              </w:rPr>
            </w:pPr>
            <w:r>
              <w:rPr>
                <w:caps w:val="false"/>
                <w:smallCaps w:val="false"/>
              </w:rPr>
              <w:t> </w:t>
            </w:r>
          </w:p>
        </w:tc>
        <w:tc>
          <w:tcPr>
            <w:tcW w:w="83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Please see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beginning on page 5 of this prospectus. In addition before deciding whether to invest in our securities, you should consider carefully the risks and uncertainties described in the section captioned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our Annual Report on Form 10-K for the fiscal year ended December 31, 2025 filed with the SEC on March 30, 2026, and other filings we make with the SEC from time to time, which are incorporated by reference herein in their entirety, together with other information in this prospectus and the information incorporated by reference herein.</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pp_003"/>
      <w:bookmarkEnd w:id="3"/>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securities involves a high degree of risk. Before deciding whether to invest in our securities, you should consider carefully the risks and uncertainties described in the section captioned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contained in our Annual Report on Form 10-K for the fiscal year ended December 31, 2025 filed with the SEC on March 30, 2026, and our other filings we make with the SEC from time to time, which are incorporated by reference herein in their entirety, together with other information in this prospectus and the information incorporated by reference herein. Additional risks and uncertainties of which we are unaware, or that we currently deem immaterial, also may become important factors that affect us. You should also carefully consider the other information included or incorporated by reference in this prospectus. Each of the risks described in these documents could materially and adversely affect our business, financial condition, results of operations and prospects, and could result in a partial or complete loss of your investment. If any of these risks actually occurs, our business, financial condition, results of operations or cash flow could suffer materially. In such an event, the trading price of our shares of Common Stock could decline, and you might lose all or part of your investment.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pp_004"/>
      <w:bookmarkEnd w:id="4"/>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historical information, this prospectus and the documents incorporated herein by reference contain forward-looking statements within the meaning of Section 27A of the Securities Act of 1933, as amended, (the “Securities Act”) and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financial performance, including our expectations regarding our revenue, cost of revenue, gross profit, operating expenses including changes in research and development, sales and marketing, and general and administrative expenses (including any components of the foregoing), and our ability to maintain future profitability;</w:t>
            </w:r>
          </w:p>
        </w:tc>
      </w:tr>
    </w:tbl>
    <w:p>
      <w:pPr>
        <w:pStyle w:val="TextBody"/>
        <w:bidi w:val="0"/>
        <w:spacing w:before="0" w:after="0"/>
        <w:ind w:left="720" w:right="0" w:hanging="360"/>
        <w:jc w:val="both"/>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75"/>
        <w:gridCol w:w="170"/>
        <w:gridCol w:w="39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9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raise capital to fund our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75"/>
        <w:gridCol w:w="170"/>
        <w:gridCol w:w="5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plan and our ability to effectively manage our growth;</w:t>
            </w:r>
          </w:p>
        </w:tc>
      </w:tr>
    </w:tbl>
    <w:p>
      <w:pPr>
        <w:pStyle w:val="TextBody"/>
        <w:bidi w:val="0"/>
        <w:spacing w:before="0" w:after="0"/>
        <w:ind w:left="720" w:right="0" w:hanging="36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75"/>
        <w:gridCol w:w="170"/>
        <w:gridCol w:w="60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0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compete with well-established competitors and new entrants;</w:t>
            </w:r>
          </w:p>
        </w:tc>
      </w:tr>
    </w:tbl>
    <w:p>
      <w:pPr>
        <w:pStyle w:val="TextBody"/>
        <w:bidi w:val="0"/>
        <w:spacing w:before="0" w:after="0"/>
        <w:ind w:left="720" w:right="0" w:hanging="360"/>
        <w:jc w:val="both"/>
        <w:rPr>
          <w:caps w:val="false"/>
          <w:smallCaps w:val="false"/>
        </w:rPr>
      </w:pPr>
      <w:r>
        <w:rPr>
          <w:caps w:val="false"/>
          <w:smallCaps w:val="false"/>
        </w:rPr>
        <w:t> </w:t>
      </w:r>
    </w:p>
    <w:tbl>
      <w:tblPr>
        <w:tblW w:w="7810" w:type="dxa"/>
        <w:jc w:val="left"/>
        <w:tblInd w:w="0" w:type="dxa"/>
        <w:tblLayout w:type="fixed"/>
        <w:tblCellMar>
          <w:top w:w="0" w:type="dxa"/>
          <w:left w:w="0" w:type="dxa"/>
          <w:bottom w:w="0" w:type="dxa"/>
          <w:right w:w="0" w:type="dxa"/>
        </w:tblCellMar>
      </w:tblPr>
      <w:tblGrid>
        <w:gridCol w:w="75"/>
        <w:gridCol w:w="170"/>
        <w:gridCol w:w="75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5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navigate the regulatory environment applicable to our operations and industry;</w:t>
            </w:r>
          </w:p>
        </w:tc>
      </w:tr>
    </w:tbl>
    <w:p>
      <w:pPr>
        <w:pStyle w:val="TextBody"/>
        <w:bidi w:val="0"/>
        <w:spacing w:before="0" w:after="0"/>
        <w:ind w:left="720" w:right="0" w:hanging="36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75"/>
        <w:gridCol w:w="170"/>
        <w:gridCol w:w="4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5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begin manufacturing our vehicles at scale;</w:t>
            </w:r>
          </w:p>
        </w:tc>
      </w:tr>
    </w:tbl>
    <w:p>
      <w:pPr>
        <w:pStyle w:val="TextBody"/>
        <w:bidi w:val="0"/>
        <w:spacing w:before="0" w:after="0"/>
        <w:ind w:left="720" w:right="0" w:hanging="360"/>
        <w:jc w:val="both"/>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75"/>
        <w:gridCol w:w="170"/>
        <w:gridCol w:w="5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qualified employees and key personnel;</w:t>
            </w:r>
          </w:p>
        </w:tc>
      </w:tr>
    </w:tbl>
    <w:p>
      <w:pPr>
        <w:pStyle w:val="TextBody"/>
        <w:bidi w:val="0"/>
        <w:spacing w:before="0" w:after="0"/>
        <w:ind w:left="720" w:right="0" w:hanging="36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170"/>
        <w:gridCol w:w="28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execute our strategy;</w:t>
            </w:r>
          </w:p>
        </w:tc>
      </w:tr>
    </w:tbl>
    <w:p>
      <w:pPr>
        <w:pStyle w:val="TextBody"/>
        <w:bidi w:val="0"/>
        <w:spacing w:before="0" w:after="0"/>
        <w:ind w:left="720" w:right="0" w:hanging="360"/>
        <w:jc w:val="both"/>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75"/>
        <w:gridCol w:w="170"/>
        <w:gridCol w:w="35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beliefs and objectives for future operations;</w:t>
            </w:r>
          </w:p>
        </w:tc>
      </w:tr>
    </w:tbl>
    <w:p>
      <w:pPr>
        <w:pStyle w:val="TextBody"/>
        <w:bidi w:val="0"/>
        <w:spacing w:before="0" w:after="0"/>
        <w:ind w:left="720" w:right="0" w:hanging="36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75"/>
        <w:gridCol w:w="170"/>
        <w:gridCol w:w="65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65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protect, and enhance our brand and intellectual property;</w:t>
            </w:r>
          </w:p>
        </w:tc>
      </w:tr>
    </w:tbl>
    <w:p>
      <w:pPr>
        <w:pStyle w:val="TextBody"/>
        <w:bidi w:val="0"/>
        <w:spacing w:before="0" w:after="0"/>
        <w:ind w:left="720" w:right="0" w:hanging="360"/>
        <w:jc w:val="both"/>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stay in compliance with laws and regulations that currently apply or become applicable to our business;</w:t>
            </w:r>
          </w:p>
        </w:tc>
      </w:tr>
    </w:tbl>
    <w:p>
      <w:pPr>
        <w:pStyle w:val="TextBody"/>
        <w:bidi w:val="0"/>
        <w:spacing w:before="0" w:after="0"/>
        <w:ind w:left="720" w:right="0" w:hanging="360"/>
        <w:jc w:val="both"/>
        <w:rPr>
          <w:caps w:val="false"/>
          <w:smallCaps w:val="false"/>
        </w:rPr>
      </w:pPr>
      <w:r>
        <w:rPr>
          <w:caps w:val="false"/>
          <w:smallCaps w:val="false"/>
        </w:rPr>
        <w:t> </w:t>
      </w:r>
    </w:p>
    <w:tbl>
      <w:tblPr>
        <w:tblW w:w="5980" w:type="dxa"/>
        <w:jc w:val="left"/>
        <w:tblInd w:w="0" w:type="dxa"/>
        <w:tblLayout w:type="fixed"/>
        <w:tblCellMar>
          <w:top w:w="0" w:type="dxa"/>
          <w:left w:w="0" w:type="dxa"/>
          <w:bottom w:w="0" w:type="dxa"/>
          <w:right w:w="0" w:type="dxa"/>
        </w:tblCellMar>
      </w:tblPr>
      <w:tblGrid>
        <w:gridCol w:w="75"/>
        <w:gridCol w:w="170"/>
        <w:gridCol w:w="57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7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economic and industry trends, projected growth, or trend analysis; and</w:t>
            </w:r>
          </w:p>
        </w:tc>
      </w:tr>
    </w:tbl>
    <w:p>
      <w:pPr>
        <w:pStyle w:val="TextBody"/>
        <w:bidi w:val="0"/>
        <w:spacing w:before="0" w:after="0"/>
        <w:ind w:left="720" w:right="0" w:hanging="36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75"/>
        <w:gridCol w:w="170"/>
        <w:gridCol w:w="49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increased expenses associated with being a public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you that the foregoing list may not contain all of the forward-looking statements made in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You should refer to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of this prospectus and the documents we incorporate by reference for a discussion of important factors that may cause our actual results to differ materially from those expressed or implied by our forward-looking statements.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prospectus and the documents we incorporate by reference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pp_005"/>
      <w:bookmarkEnd w:id="5"/>
      <w:r>
        <w:rPr>
          <w:rFonts w:ascii="Times New Roman;Times;Serif" w:hAnsi="Times New Roman;Times;Serif"/>
          <w:b/>
          <w:i w:val="false"/>
          <w:caps w:val="false"/>
          <w:smallCaps w:val="false"/>
          <w:sz w:val="20"/>
        </w:rPr>
        <w:t>PRIVATE PLACEMENT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10, 2026, we entered into an inducement offer letter agreement (the “Inducement Letter”) with certain holders (the “Holders”) of certain of our existing warrants to purchase up to an aggregate of 2,880,000 shares of our Common Stock issued to the Holders on March 12, 2026 (the “Existing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the Holders agreed to exercise for cash their Existing Warrants at a reduced exercise price of $2.07 per share in consideration for our agreement to issue in a private placement warrants to purchase up to an aggregate of 4,320,000 shares of Common Stock (the “Warrants”). The Warrants have an exercise price of $2.25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on July 13, 2026 (the “Closing Date”). We received aggregate gross proceeds of approximately $5.96 million from the exercise of the Existing Warrants by the Holders, before deducting financial advisory fees and other offering expenses payable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we agreed to file a registration statement on Form S-1 providing for the resale of the Warrant Shares as soon as reasonably practicable after the Closing Date (and in any event within 30 calendar days following the Closing Date), and to use commercially reasonable efforts to cause such registration statement to be declared effective by the SEC within 60 days following the filing date of the registration statement (or within 90 calendar days in case of “full review” by the SEC) and to keep such registration statement effective at all times until the Holders no longer own any Warrants or the shares issuable upon exercise thereof. We have filed the registration statement of which this prospectus forms a part pursuant to the Inducement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engaged A.G.P./Alliance Global Partners (the “Financial Advisor”) to act as financial advisor in connection with the transactions summarized above and paid the Financial Advisor a fee equal to 6% of the gross proceeds raised in the transaction and reimburse the Financial Advisor for legal expenses incurred in connection with the transaction not to exceed $25,000.</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pp_006"/>
      <w:bookmarkEnd w:id="6"/>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covers the resale or other disposition by the Selling Stockholders identified in the table below, or their pledgees, assignees, transferees or other successors-in-interest, of up to an aggregate of 4,320,000 shares of our Class B common stock issuable upon exercise of the Warrants. The Selling Stockholders acquired the Warrants in the transactions described above under the heading “</w:t>
      </w:r>
      <w:r>
        <w:rPr>
          <w:rFonts w:ascii="Times New Roman;Times;Serif" w:hAnsi="Times New Roman;Times;Serif"/>
          <w:b w:val="false"/>
          <w:i/>
          <w:caps w:val="false"/>
          <w:smallCaps w:val="false"/>
          <w:sz w:val="20"/>
        </w:rPr>
        <w:t>Private Placement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contain beneficial ownership limitations that prevent a holder from exercising any portion of its Warrants to the extent that, after giving effect to such exercise, the holder, together with certain related parties, would beneficially own more than 4.99% or 9.99%, as applicable, of our outstanding shares of Class B common stock, subject to the terms of the Warrants. The number of shares shown in the column titled “Shares of Class B Common Stock Offered by this Prospectus” reflects the full number of shares of Class B common stock issuable upon exercise of the Warrants held by each Selling Stockholder and does not give effect to any applicable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as of August 6, 2026, the following information regarding the Selling Stockholders: the name of each Selling Stockholder; the number of shares of Class B common stock beneficially owned by each Selling Stockholder prior to this offering, determined in accordance with Rule 13d-3 under the Exchange Act; the percentage of outstanding shares of Class B common stock beneficially owned by each Selling Stockholder prior to this offering; the number of shares of Class B common stock being offered by each Selling Stockholder pursuant to this prospectus; the number of shares of Class B common stock to be beneficially owned by each Selling Stockholder after completion of this offering, assuming the sale of all shares offered by such Selling Stockholder pursuant to this prospectus and no other acquisitions or dispositions of shares; and the percentage of outstanding shares of Class B common stock to be beneficially owned by each Selling Stockholder after completion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and generally includes shares over which the Selling Stockholder has voting or dispositive power and shares that the Selling Stockholder has the right to acquire within 60 days of August 6, 2026. Because the Warrants are not exercisable until January 13, 2027, the shares issuable upon exercise of the Warrants have not been included in the “Shares of Class B Common Stock Beneficially Owned Prior to Offering” column unless such shares are deemed beneficially owned under Rule 13d-3 as of the applicable measurement date. The “Shares of Class B Common Stock Offered by this Prospectus” column, however, includes all shares of Class B common stock issuable upon exercise of the Warrants held by each Selling Stockholder, without regard to the 60-day exercisability rule or any applicable beneficial ownership limitation.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information with respect to the beneficial ownership of the Selling Stockholders has been furnished by or on behalf of the Selling Stockholders. Except as otherwise indicated in the footnotes to the table below, and based on information provided to us by the Selling Stockholders, we believe that each Selling Stockholder has sole voting and dispositive power with respect to the shares of Class B common stock beneficially owned by such Selling Stockholder. Because the Selling Stockholders may sell, transfer or otherwise dispose of all, some or none of the shares covered by this prospectus, and because there are currently no agreements, arrangements or understandings with respect to the sale of any of the shares covered by this prospectus, we cannot estimate the number of shares that will be held by the Selling Stockholders upon termination of this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have sold, transferred or otherwise disposed of, or may sell, transfer or otherwise dispose of, at any time and from time to time after the date on which they provided the information set forth in the table below, shares of Class B common stock that they beneficially own in transactions exempt from the registration requirements of the Securities Act. Accordingly, for purposes of the table below, we have assumed that each Selling Stockholder will sell all of the shares of Class B common stock offered by such Selling Stockholder pursuant to this prospectus and will not sell or otherwise dispose of any other shares of Class B common stock beneficially owned by such Selling Stockholder.</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below, none of the Selling Stockholders has held any position or office with us or any of our subsidiaries, or otherwise had a material relationship with us or any of our subsidiaries, within the past three years other than as a result of the ownership of our securities. Based on information provided to us by the Selling Stockholders, no Selling Stockholder is a registered broker-dealer or an affiliate of a registered broker-dealer, except as otherwise disclosed in the footnotes to the table below.</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494"/>
        <w:gridCol w:w="60"/>
        <w:gridCol w:w="427"/>
        <w:gridCol w:w="997"/>
        <w:gridCol w:w="60"/>
        <w:gridCol w:w="60"/>
        <w:gridCol w:w="567"/>
        <w:gridCol w:w="1324"/>
        <w:gridCol w:w="215"/>
        <w:gridCol w:w="60"/>
        <w:gridCol w:w="78"/>
        <w:gridCol w:w="1278"/>
        <w:gridCol w:w="220"/>
        <w:gridCol w:w="60"/>
        <w:gridCol w:w="422"/>
        <w:gridCol w:w="985"/>
        <w:gridCol w:w="60"/>
        <w:gridCol w:w="60"/>
        <w:gridCol w:w="462"/>
        <w:gridCol w:w="1082"/>
        <w:gridCol w:w="234"/>
      </w:tblGrid>
      <w:tr>
        <w:trPr/>
        <w:tc>
          <w:tcPr>
            <w:tcW w:w="1494" w:type="dxa"/>
            <w:tcBorders>
              <w:bottom w:val="single" w:sz="8" w:space="0" w:color="000000"/>
            </w:tcBorders>
            <w:vAlign w:val="center"/>
          </w:tcPr>
          <w:p>
            <w:pPr>
              <w:pStyle w:val="TableContents"/>
              <w:bidi w:val="0"/>
              <w:spacing w:before="0" w:after="283"/>
              <w:jc w:val="center"/>
              <w:rPr>
                <w:b/>
              </w:rPr>
            </w:pPr>
            <w:r>
              <w:rPr>
                <w:b/>
              </w:rPr>
              <w:t>Name of Selling Stockholder</w:t>
            </w:r>
          </w:p>
        </w:tc>
        <w:tc>
          <w:tcPr>
            <w:tcW w:w="60" w:type="dxa"/>
            <w:tcBorders/>
            <w:tcMar>
              <w:bottom w:w="0" w:type="dxa"/>
            </w:tcMar>
            <w:vAlign w:val="center"/>
          </w:tcPr>
          <w:p>
            <w:pPr>
              <w:pStyle w:val="TableContents"/>
              <w:bidi w:val="0"/>
              <w:spacing w:before="0" w:after="283"/>
              <w:jc w:val="left"/>
              <w:rPr/>
            </w:pPr>
            <w:r>
              <w:rPr/>
              <w:t> </w:t>
            </w:r>
          </w:p>
        </w:tc>
        <w:tc>
          <w:tcPr>
            <w:tcW w:w="14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Beneficially Owned Prior to Offering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91" w:type="dxa"/>
            <w:gridSpan w:val="2"/>
            <w:tcBorders>
              <w:bottom w:val="single" w:sz="8" w:space="0" w:color="000000"/>
            </w:tcBorders>
            <w:vAlign w:val="center"/>
          </w:tcPr>
          <w:p>
            <w:pPr>
              <w:pStyle w:val="TableContents"/>
              <w:bidi w:val="0"/>
              <w:spacing w:before="0" w:after="283"/>
              <w:jc w:val="center"/>
              <w:rPr>
                <w:b/>
              </w:rPr>
            </w:pPr>
            <w:r>
              <w:rPr>
                <w:b/>
              </w:rPr>
              <w:t>Percentage of Outstanding Class B Common Stock Beneficially Owned Prior to Offering (1)(2)</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5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Offered by this Prospectus (3)</w:t>
            </w:r>
          </w:p>
        </w:tc>
        <w:tc>
          <w:tcPr>
            <w:tcW w:w="2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0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B Common Stock Beneficially Owned After Offering (1)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4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 of Outstanding Class B Common Stock Beneficially Owned After Offering (1)(2)</w:t>
            </w:r>
          </w:p>
        </w:tc>
        <w:tc>
          <w:tcPr>
            <w:tcW w:w="234" w:type="dxa"/>
            <w:tcBorders/>
            <w:tcMar>
              <w:bottom w:w="0" w:type="dxa"/>
            </w:tcMar>
            <w:vAlign w:val="center"/>
          </w:tcPr>
          <w:p>
            <w:pPr>
              <w:pStyle w:val="TableContents"/>
              <w:bidi w:val="0"/>
              <w:spacing w:before="0" w:after="283"/>
              <w:jc w:val="left"/>
              <w:rPr/>
            </w:pPr>
            <w:r>
              <w:rPr/>
              <w:t> </w:t>
            </w:r>
          </w:p>
        </w:tc>
      </w:tr>
      <w:tr>
        <w:trPr/>
        <w:tc>
          <w:tcPr>
            <w:tcW w:w="1494" w:type="dxa"/>
            <w:tcBorders/>
            <w:shd w:fill="CCEEFF" w:val="clear"/>
            <w:tcMar>
              <w:bottom w:w="0" w:type="dxa"/>
            </w:tcMar>
            <w:vAlign w:val="center"/>
          </w:tcPr>
          <w:p>
            <w:pPr>
              <w:pStyle w:val="TableContents"/>
              <w:bidi w:val="0"/>
              <w:spacing w:before="0" w:after="283"/>
              <w:jc w:val="both"/>
              <w:rPr/>
            </w:pPr>
            <w:r>
              <w:rPr/>
              <w:t>Polar Asset Management Partners Inc.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3,375,000</w:t>
            </w:r>
          </w:p>
        </w:tc>
        <w:tc>
          <w:tcPr>
            <w:tcW w:w="220" w:type="dxa"/>
            <w:tcBorders/>
            <w:shd w:fill="CCEEFF" w:val="clear"/>
            <w:tcMar>
              <w:bottom w:w="0" w:type="dxa"/>
            </w:tcMar>
            <w:vAlign w:val="center"/>
          </w:tcPr>
          <w:p>
            <w:pPr>
              <w:pStyle w:val="TableContents"/>
              <w:bidi w:val="0"/>
              <w:spacing w:before="0" w:after="283"/>
              <w:jc w:val="left"/>
              <w:rPr/>
            </w:pPr>
            <w:r>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494" w:type="dxa"/>
            <w:tcBorders/>
            <w:shd w:fill="FFFFFF" w:val="clear"/>
            <w:tcMar>
              <w:bottom w:w="0" w:type="dxa"/>
            </w:tcMar>
            <w:vAlign w:val="center"/>
          </w:tcPr>
          <w:p>
            <w:pPr>
              <w:pStyle w:val="TableContents"/>
              <w:bidi w:val="0"/>
              <w:spacing w:before="0" w:after="283"/>
              <w:jc w:val="both"/>
              <w:rPr/>
            </w:pPr>
            <w:r>
              <w:rPr/>
              <w:t>Robert Forster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393,750</w:t>
            </w:r>
          </w:p>
        </w:tc>
        <w:tc>
          <w:tcPr>
            <w:tcW w:w="220" w:type="dxa"/>
            <w:tcBorders/>
            <w:shd w:fill="FFFFFF" w:val="clear"/>
            <w:tcMar>
              <w:bottom w:w="0" w:type="dxa"/>
            </w:tcMar>
            <w:vAlign w:val="center"/>
          </w:tcPr>
          <w:p>
            <w:pPr>
              <w:pStyle w:val="TableContents"/>
              <w:bidi w:val="0"/>
              <w:spacing w:before="0" w:after="283"/>
              <w:jc w:val="left"/>
              <w:rPr/>
            </w:pPr>
            <w:r>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1494" w:type="dxa"/>
            <w:tcBorders/>
            <w:shd w:fill="CCEEFF" w:val="clear"/>
            <w:tcMar>
              <w:bottom w:w="0" w:type="dxa"/>
            </w:tcMar>
            <w:vAlign w:val="center"/>
          </w:tcPr>
          <w:p>
            <w:pPr>
              <w:pStyle w:val="TableContents"/>
              <w:bidi w:val="0"/>
              <w:spacing w:before="0" w:after="283"/>
              <w:jc w:val="both"/>
              <w:rPr/>
            </w:pPr>
            <w:r>
              <w:rPr/>
              <w:t>Mank Capital,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225,000</w:t>
            </w:r>
          </w:p>
        </w:tc>
        <w:tc>
          <w:tcPr>
            <w:tcW w:w="220" w:type="dxa"/>
            <w:tcBorders/>
            <w:shd w:fill="CCEEFF" w:val="clear"/>
            <w:tcMar>
              <w:bottom w:w="0" w:type="dxa"/>
            </w:tcMar>
            <w:vAlign w:val="center"/>
          </w:tcPr>
          <w:p>
            <w:pPr>
              <w:pStyle w:val="TableContents"/>
              <w:bidi w:val="0"/>
              <w:spacing w:before="0" w:after="283"/>
              <w:jc w:val="left"/>
              <w:rPr/>
            </w:pPr>
            <w:r>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494" w:type="dxa"/>
            <w:tcBorders/>
            <w:shd w:fill="FFFFFF" w:val="clear"/>
            <w:tcMar>
              <w:bottom w:w="0" w:type="dxa"/>
            </w:tcMar>
            <w:vAlign w:val="center"/>
          </w:tcPr>
          <w:p>
            <w:pPr>
              <w:pStyle w:val="TableContents"/>
              <w:bidi w:val="0"/>
              <w:spacing w:before="0" w:after="283"/>
              <w:jc w:val="both"/>
              <w:rPr/>
            </w:pPr>
            <w:r>
              <w:rPr/>
              <w:t>Aramas Capital Management LLC</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168,750</w:t>
            </w:r>
          </w:p>
        </w:tc>
        <w:tc>
          <w:tcPr>
            <w:tcW w:w="220" w:type="dxa"/>
            <w:tcBorders/>
            <w:shd w:fill="FFFFFF" w:val="clear"/>
            <w:tcMar>
              <w:bottom w:w="0" w:type="dxa"/>
            </w:tcMar>
            <w:vAlign w:val="center"/>
          </w:tcPr>
          <w:p>
            <w:pPr>
              <w:pStyle w:val="TableContents"/>
              <w:bidi w:val="0"/>
              <w:spacing w:before="0" w:after="283"/>
              <w:jc w:val="left"/>
              <w:rPr/>
            </w:pPr>
            <w:r>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1494" w:type="dxa"/>
            <w:tcBorders/>
            <w:shd w:fill="CCEEFF" w:val="clear"/>
            <w:tcMar>
              <w:bottom w:w="0" w:type="dxa"/>
            </w:tcMar>
            <w:vAlign w:val="center"/>
          </w:tcPr>
          <w:p>
            <w:pPr>
              <w:pStyle w:val="TableContents"/>
              <w:bidi w:val="0"/>
              <w:spacing w:before="0" w:after="283"/>
              <w:jc w:val="both"/>
              <w:rPr/>
            </w:pPr>
            <w:r>
              <w:rPr/>
              <w:t>Connective Capital Emerging Energy QP, LP</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7" w:type="dxa"/>
            <w:tcBorders/>
            <w:shd w:fill="CCEEFF" w:val="clear"/>
            <w:tcMar>
              <w:bottom w:w="0" w:type="dxa"/>
            </w:tcMar>
            <w:vAlign w:val="center"/>
          </w:tcPr>
          <w:p>
            <w:pPr>
              <w:pStyle w:val="TableContents"/>
              <w:bidi w:val="0"/>
              <w:spacing w:before="0" w:after="283"/>
              <w:jc w:val="left"/>
              <w:rPr/>
            </w:pPr>
            <w:r>
              <w:rPr/>
              <w:t> </w:t>
            </w:r>
          </w:p>
        </w:tc>
        <w:tc>
          <w:tcPr>
            <w:tcW w:w="997"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7" w:type="dxa"/>
            <w:tcBorders/>
            <w:shd w:fill="CCEEFF" w:val="clear"/>
            <w:tcMar>
              <w:bottom w:w="0" w:type="dxa"/>
            </w:tcMar>
            <w:vAlign w:val="center"/>
          </w:tcPr>
          <w:p>
            <w:pPr>
              <w:pStyle w:val="TableContents"/>
              <w:bidi w:val="0"/>
              <w:spacing w:before="0" w:after="283"/>
              <w:jc w:val="left"/>
              <w:rPr/>
            </w:pPr>
            <w:r>
              <w:rPr/>
              <w:t> </w:t>
            </w:r>
          </w:p>
        </w:tc>
        <w:tc>
          <w:tcPr>
            <w:tcW w:w="1324"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278" w:type="dxa"/>
            <w:tcBorders/>
            <w:shd w:fill="CCEEFF" w:val="clear"/>
            <w:tcMar>
              <w:bottom w:w="0" w:type="dxa"/>
            </w:tcMar>
            <w:vAlign w:val="center"/>
          </w:tcPr>
          <w:p>
            <w:pPr>
              <w:pStyle w:val="TableContents"/>
              <w:bidi w:val="0"/>
              <w:spacing w:before="0" w:after="283"/>
              <w:jc w:val="right"/>
              <w:rPr/>
            </w:pPr>
            <w:r>
              <w:rPr/>
              <w:t>128,634</w:t>
            </w:r>
          </w:p>
        </w:tc>
        <w:tc>
          <w:tcPr>
            <w:tcW w:w="220" w:type="dxa"/>
            <w:tcBorders/>
            <w:shd w:fill="CCEEFF" w:val="clear"/>
            <w:tcMar>
              <w:bottom w:w="0" w:type="dxa"/>
            </w:tcMar>
            <w:vAlign w:val="center"/>
          </w:tcPr>
          <w:p>
            <w:pPr>
              <w:pStyle w:val="TableContents"/>
              <w:bidi w:val="0"/>
              <w:spacing w:before="0" w:after="283"/>
              <w:jc w:val="left"/>
              <w:rPr/>
            </w:pPr>
            <w:r>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985" w:type="dxa"/>
            <w:tcBorders/>
            <w:shd w:fill="CCEEFF" w:val="clear"/>
            <w:tcMar>
              <w:bottom w:w="0" w:type="dxa"/>
            </w:tcMar>
            <w:vAlign w:val="center"/>
          </w:tcPr>
          <w:p>
            <w:pPr>
              <w:pStyle w:val="TableContents"/>
              <w:bidi w:val="0"/>
              <w:spacing w:before="0" w:after="283"/>
              <w:jc w:val="right"/>
              <w:rPr/>
            </w:pPr>
            <w:r>
              <w:rPr/>
              <w:t>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2" w:type="dxa"/>
            <w:tcBorders/>
            <w:shd w:fill="CCEEFF" w:val="clear"/>
            <w:tcMar>
              <w:bottom w:w="0" w:type="dxa"/>
            </w:tcMar>
            <w:vAlign w:val="center"/>
          </w:tcPr>
          <w:p>
            <w:pPr>
              <w:pStyle w:val="TableContents"/>
              <w:bidi w:val="0"/>
              <w:spacing w:before="0" w:after="283"/>
              <w:jc w:val="left"/>
              <w:rPr/>
            </w:pPr>
            <w:r>
              <w:rPr/>
              <w:t> </w:t>
            </w:r>
          </w:p>
        </w:tc>
        <w:tc>
          <w:tcPr>
            <w:tcW w:w="1082" w:type="dxa"/>
            <w:tcBorders/>
            <w:shd w:fill="CCEEFF" w:val="clear"/>
            <w:tcMar>
              <w:bottom w:w="0" w:type="dxa"/>
            </w:tcMar>
            <w:vAlign w:val="center"/>
          </w:tcPr>
          <w:p>
            <w:pPr>
              <w:pStyle w:val="TableContents"/>
              <w:bidi w:val="0"/>
              <w:spacing w:before="0" w:after="283"/>
              <w:jc w:val="righ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1494" w:type="dxa"/>
            <w:tcBorders/>
            <w:shd w:fill="FFFFFF" w:val="clear"/>
            <w:tcMar>
              <w:bottom w:w="0" w:type="dxa"/>
            </w:tcMar>
            <w:vAlign w:val="center"/>
          </w:tcPr>
          <w:p>
            <w:pPr>
              <w:pStyle w:val="TableContents"/>
              <w:bidi w:val="0"/>
              <w:spacing w:before="0" w:after="283"/>
              <w:jc w:val="both"/>
              <w:rPr/>
            </w:pPr>
            <w:r>
              <w:rPr/>
              <w:t>Connective Capital I QP, LP</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7" w:type="dxa"/>
            <w:tcBorders/>
            <w:shd w:fill="FFFFFF" w:val="clear"/>
            <w:tcMar>
              <w:bottom w:w="0" w:type="dxa"/>
            </w:tcMar>
            <w:vAlign w:val="center"/>
          </w:tcPr>
          <w:p>
            <w:pPr>
              <w:pStyle w:val="TableContents"/>
              <w:bidi w:val="0"/>
              <w:spacing w:before="0" w:after="283"/>
              <w:jc w:val="left"/>
              <w:rPr/>
            </w:pPr>
            <w:r>
              <w:rPr/>
              <w:t> </w:t>
            </w:r>
          </w:p>
        </w:tc>
        <w:tc>
          <w:tcPr>
            <w:tcW w:w="997"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7" w:type="dxa"/>
            <w:tcBorders/>
            <w:shd w:fill="FFFFFF" w:val="clear"/>
            <w:tcMar>
              <w:bottom w:w="0" w:type="dxa"/>
            </w:tcMar>
            <w:vAlign w:val="center"/>
          </w:tcPr>
          <w:p>
            <w:pPr>
              <w:pStyle w:val="TableContents"/>
              <w:bidi w:val="0"/>
              <w:spacing w:before="0" w:after="283"/>
              <w:jc w:val="left"/>
              <w:rPr/>
            </w:pPr>
            <w:r>
              <w:rPr/>
              <w:t> </w:t>
            </w:r>
          </w:p>
        </w:tc>
        <w:tc>
          <w:tcPr>
            <w:tcW w:w="1324"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278" w:type="dxa"/>
            <w:tcBorders/>
            <w:shd w:fill="FFFFFF" w:val="clear"/>
            <w:tcMar>
              <w:bottom w:w="0" w:type="dxa"/>
            </w:tcMar>
            <w:vAlign w:val="center"/>
          </w:tcPr>
          <w:p>
            <w:pPr>
              <w:pStyle w:val="TableContents"/>
              <w:bidi w:val="0"/>
              <w:spacing w:before="0" w:after="283"/>
              <w:jc w:val="right"/>
              <w:rPr/>
            </w:pPr>
            <w:r>
              <w:rPr/>
              <w:t>28,866</w:t>
            </w:r>
          </w:p>
        </w:tc>
        <w:tc>
          <w:tcPr>
            <w:tcW w:w="220" w:type="dxa"/>
            <w:tcBorders/>
            <w:shd w:fill="FFFFFF" w:val="clear"/>
            <w:tcMar>
              <w:bottom w:w="0" w:type="dxa"/>
            </w:tcMar>
            <w:vAlign w:val="center"/>
          </w:tcPr>
          <w:p>
            <w:pPr>
              <w:pStyle w:val="TableContents"/>
              <w:bidi w:val="0"/>
              <w:spacing w:before="0" w:after="283"/>
              <w:jc w:val="left"/>
              <w:rPr/>
            </w:pPr>
            <w:r>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985" w:type="dxa"/>
            <w:tcBorders/>
            <w:shd w:fill="FFFFFF" w:val="clear"/>
            <w:tcMar>
              <w:bottom w:w="0" w:type="dxa"/>
            </w:tcMar>
            <w:vAlign w:val="center"/>
          </w:tcPr>
          <w:p>
            <w:pPr>
              <w:pStyle w:val="TableContents"/>
              <w:bidi w:val="0"/>
              <w:spacing w:before="0" w:after="283"/>
              <w:jc w:val="right"/>
              <w:rPr/>
            </w:pPr>
            <w:r>
              <w:rPr/>
              <w:t>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2" w:type="dxa"/>
            <w:tcBorders/>
            <w:shd w:fill="FFFFFF" w:val="clear"/>
            <w:tcMar>
              <w:bottom w:w="0" w:type="dxa"/>
            </w:tcMar>
            <w:vAlign w:val="center"/>
          </w:tcPr>
          <w:p>
            <w:pPr>
              <w:pStyle w:val="TableContents"/>
              <w:bidi w:val="0"/>
              <w:spacing w:before="0" w:after="283"/>
              <w:jc w:val="left"/>
              <w:rPr/>
            </w:pPr>
            <w:r>
              <w:rPr/>
              <w:t> </w:t>
            </w:r>
          </w:p>
        </w:tc>
        <w:tc>
          <w:tcPr>
            <w:tcW w:w="1082" w:type="dxa"/>
            <w:tcBorders/>
            <w:shd w:fill="FFFFFF" w:val="clear"/>
            <w:tcMar>
              <w:bottom w:w="0" w:type="dxa"/>
            </w:tcMar>
            <w:vAlign w:val="center"/>
          </w:tcPr>
          <w:p>
            <w:pPr>
              <w:pStyle w:val="TableContents"/>
              <w:bidi w:val="0"/>
              <w:spacing w:before="0" w:after="283"/>
              <w:jc w:val="right"/>
              <w:rPr/>
            </w:pPr>
            <w:r>
              <w:rPr/>
              <w:t>*</w:t>
            </w:r>
          </w:p>
        </w:tc>
        <w:tc>
          <w:tcPr>
            <w:tcW w:w="23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1.0%.</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 under the Exchange Act. Shares of Class B common stock subject to options, warrants or other rights that are exercisable or convertible within 60 days of August 6, 2026 are deemed beneficially owned by the holder of such securities for purposes of this table. Except as otherwise indicated, the Warrants are not exercisable until January 13, 2027 and therefore the shares of Class B common stock issuable upon exercise of the Warrants are not included in the number of shares beneficially owned prior to this offering unless such shares are otherwise deemed beneficially owned under Rule 13d-3 as of the applicable measurement date.</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Percentages are based on 28,560,115 shares of Class B common stock outstanding as of August 6, 2026. For purposes of calculating the percentage of outstanding shares beneficially owned by a Selling Stockholder, shares of Class B common stock that such Selling Stockholder has the right to acquire within 60 days of August 6, 2026 are deemed outstanding, but such shares are not deemed outstanding for purposes of calculating the percentage ownership of any other Selling Stockholder.</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the full number of shares of Class B common stock issuable upon exercise of the Warrants held by the applicable Selling Stockholder and registered for resale pursuant to the registration statement of which this prospectus forms a part. The number of shares in this column does not give effect to the 60-day exercisability rule under Rule 13d-3 or to any beneficial ownership limitation contained in the Warrants.</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3,375,000 shares of Class B common stock issuable upon exercise of Warrants held by Polar Asset Management Partners Inc. The Warrants held by Polar Asset Management Partners Inc. are subject to a beneficial ownership limitation of 9.99%, which prevents exercise to the extent that, after giving effect to such exercise, Polar Asset Management Partners Inc., together with certain related parties, would beneficially own more than 9.99% of our outstanding shares of Class B common stock. The address of Polar Asset Management Partners Inc. is 16 York Street, Suite 2900, Toronto, Ontario M5J 0E6, Canada.</w:t>
            </w:r>
          </w:p>
        </w:tc>
      </w:tr>
      <w:tr>
        <w:trPr/>
        <w:tc>
          <w:tcPr>
            <w:tcW w:w="209" w:type="dxa"/>
            <w:tcBorders/>
            <w:vAlign w:val="center"/>
          </w:tcPr>
          <w:p>
            <w:pPr>
              <w:pStyle w:val="TableContents"/>
              <w:bidi w:val="0"/>
              <w:spacing w:before="0" w:after="283"/>
              <w:jc w:val="both"/>
              <w:rPr>
                <w:caps w:val="false"/>
                <w:smallCaps w:val="false"/>
              </w:rPr>
            </w:pPr>
            <w:r>
              <w:rPr>
                <w:caps w:val="false"/>
                <w:smallCaps w:val="false"/>
              </w:rPr>
              <w:t> </w:t>
            </w:r>
          </w:p>
        </w:tc>
        <w:tc>
          <w:tcPr>
            <w:tcW w:w="999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393,750 shares of Class B common stock issuable upon exercise of Warrants held by Robert Forster. The Warrants held by Robert Forster are subject to a beneficial ownership limitation of 4.99%, which prevents exercise to the extent that, after giving effect to such exercise, Robert Forster, together with certain related parties, would beneficially own more than 4.99% of our outstanding shares of Class B common stock. The address of Robert Forster is 54 Deepdale Dr., Great Neck, NY 11021.</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225,000 shares of Class B common stock issuable upon exercise of Warrants held by Mank Capital, LLC. The Warrants held by Mank Capital, LLC are subject to a beneficial ownership limitation of 4.99%, which prevents exercise to the extent that, after giving effect to such exercise, Mank Capital, LLC, together with certain related parties, would beneficially own more than 4.99% of our outstanding shares of Class B common stock. The address of Mank Capital, LLC is 347 West 87th Street, Apt. 2R, New York, NY 10024.</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168,750 shares of Class B common stock issuable upon exercise of Warrants held by Aramas Capital Management LLC. The Warrants held by Aramas Capital Management LLC are subject to a beneficial ownership limitation of 4.99%, which prevents exercise to the extent that, after giving effect to such exercise, Aramas Capital Management LLC, together with certain related parties, would beneficially own more than 4.99% of our outstanding shares of Class B common stock. The address of Aramas Capital Management LLC is 19 Orchard Street, Manhasset, NY 11030.</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128,634 shares of Class B common stock issuable upon exercise of Warrants held by Connective Capital Emerging Energy QP, LP. The Warrants held by Connective Capital Emerging Energy QP, LP are subject to a beneficial ownership limitation of 4.99%, which prevents exercise to the extent that, after giving effect to such exercise, Connective Capital Emerging Energy QP, LP, together with certain related parties, would beneficially own more than 4.99% of our outstanding shares of Class B common stock. The address of Connective Capital Emerging Energy QP, LP is 385 Homer Avenue, Palo Alto, CA 94301.</w:t>
            </w:r>
          </w:p>
        </w:tc>
      </w:tr>
      <w:tr>
        <w:trPr/>
        <w:tc>
          <w:tcPr>
            <w:tcW w:w="210" w:type="dxa"/>
            <w:tcBorders/>
            <w:vAlign w:val="center"/>
          </w:tcPr>
          <w:p>
            <w:pPr>
              <w:pStyle w:val="TableContents"/>
              <w:bidi w:val="0"/>
              <w:spacing w:before="0" w:after="283"/>
              <w:jc w:val="both"/>
              <w:rPr>
                <w:caps w:val="false"/>
                <w:smallCaps w:val="false"/>
              </w:rPr>
            </w:pPr>
            <w:r>
              <w:rPr>
                <w:caps w:val="false"/>
                <w:smallCaps w:val="false"/>
              </w:rPr>
              <w:t> </w:t>
            </w:r>
          </w:p>
        </w:tc>
        <w:tc>
          <w:tcPr>
            <w:tcW w:w="99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28,866 shares of Class B common stock issuable upon exercise of Warrants held by Connective Capital I QP, LP. The Warrants held by Connective Capital I QP, LP are subject to a beneficial ownership limitation of 4.99%, which prevents exercise to the extent that, after giving effect to such exercise, Connective Capital I QP, LP, together with certain related parties, would beneficially own more than 4.99% of our outstanding shares of Class B common stock. The address of Connective Capital I QP, LP is 385 Homer Avenue, Palo Alto, CA 94301.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 w:name="pp_007"/>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to be offered and sold using this prospectus will be offered and sold by the Selling Stockholders named in this prospectus. Accordingly, we will not receive any proceeds from any sale of shares of Common Stock in this offering. However, we will receive the exercise price per share for each Warrant exercised for cash; however, we are unable to predict the timing or amount of potential Warrant exercises. As such, we have not allocated any proceeds of such exercises to any particular purpose. Accordingly, all such proceeds, if any, will be used for working capital and other general corporate purposes.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pp_009"/>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of the securities and any of their pledgees, assignees and successors-in-interest may, from time to time, sell any or all of their securities covered hereby on Nasdaq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securities as agent but may position and resell a portion of the block as principal to facilitate the transaction;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settlement of short sales;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transactions through broker-dealers that agree with the Selling Stockholders to sell a specified number of such securities at a stipulated price per security;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if available, rather than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us that it does not have any written or oral agreement or understanding, directly or indirectly, with any person to distribute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pay certain fees and expenses incurred by us incident to the registration of the securities. We have agreed to indemnify the Selling Stockholders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the registration statement of which this prospectus is a part effective until at all times until the Holders no longer own any Warrants or the shares issuable upon exercise thereof.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Nasdaq under the symbol “SEV.”</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pp_010"/>
      <w:bookmarkEnd w:id="9"/>
      <w:r>
        <w:rPr>
          <w:rFonts w:ascii="Times New Roman;Times;Serif" w:hAnsi="Times New Roman;Times;Serif"/>
          <w:b/>
          <w:i w:val="false"/>
          <w:caps w:val="false"/>
          <w:smallCaps w:val="false"/>
          <w:sz w:val="20"/>
        </w:rPr>
        <w:t>DESCRIPTION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The following descriptions summarize important terms of our capital stock. This summary reflects Aptera’s Amended and Restated Certificate of Incorporation (the “Amended Charter”) and does not purport to be complete and is qualified in its entirety by the Amended Charter and the Amended and Restated Bylaws (the “Bylaws”), which have been filed as Exhibits to the registration statement of which this prospectus forms a part. For a complete description of Aptera’s capital stock, you should refer to our Amended Charter and our Bylaws and applicable provisions of the Delaware General Corporation Law.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General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6, 2026, the authorized capital stock of the Company consists of 305,000,000 shares of common stock, par value $0.0001 per share, 190,000,000 of which shares are designated as “Class A common stock” and 115,000,000 of which shares are designated as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August 6, 2026, the Company has the following outstanding securities:</w:t>
      </w:r>
    </w:p>
    <w:p>
      <w:pPr>
        <w:pStyle w:val="TextBody"/>
        <w:bidi w:val="0"/>
        <w:spacing w:before="0" w:after="0"/>
        <w:ind w:left="0" w:right="0" w:firstLine="720"/>
        <w:jc w:val="both"/>
        <w:rPr>
          <w:caps w:val="false"/>
          <w:smallCaps w:val="false"/>
        </w:rPr>
      </w:pPr>
      <w:r>
        <w:rPr>
          <w:caps w:val="false"/>
          <w:smallCaps w:val="false"/>
        </w:rPr>
        <w:t> </w:t>
      </w:r>
    </w:p>
    <w:tbl>
      <w:tblPr>
        <w:tblW w:w="3925" w:type="dxa"/>
        <w:jc w:val="left"/>
        <w:tblInd w:w="0" w:type="dxa"/>
        <w:tblLayout w:type="fixed"/>
        <w:tblCellMar>
          <w:top w:w="0" w:type="dxa"/>
          <w:left w:w="0" w:type="dxa"/>
          <w:bottom w:w="0" w:type="dxa"/>
          <w:right w:w="0" w:type="dxa"/>
        </w:tblCellMar>
      </w:tblPr>
      <w:tblGrid>
        <w:gridCol w:w="75"/>
        <w:gridCol w:w="170"/>
        <w:gridCol w:w="368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11,983,010 shares of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6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28,560,115 shares of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20,000,000 shares of Preferred Stock may be issued from time to time in one or more series by a resolution of the Board of Directors establishing the number of shares to be included in such series, and fixing the voting powers, full or limited, or no voting power of the shares of such series, and the designation, preferences and relative, participating, optional or other special rights, and the qualifications, limitations or restrictions thereof, of the shares of each series.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has voting rights and our Class B common stock does not have voting rights under our Amended Charter. See “Common Stock - Voting Rights” and “Preferred Stock - Voting Rights” below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B common stock has the same rights and powers of, ranks equally to, shares ratably with and is identical in all respects, and as to all matters to Class A common stock; except that our Class B common stock is non-voting and is not entitled to any votes on any matter that is submitted to a vote of our stockholders, except as required by Delaware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non-voting and is not entitled to any votes on any matter that is submitted to a vote of our stockholders, except as required by Delaware law, for instance, if we were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par value of the common stock;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our Amended Charter to alter the powers, preferences, or special rights of the common stock as a whole in a way that would adversely affect the holders of our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for changes in par value, it would require the majority approval of all holders of our common stock to approve such change.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and following the “Final Conversion Date” -defined as the date that no shares of Class A common stock remain outstanding-holders of Class B common stock will be entitled to one vote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shall be entitled to elect, remove and replace all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class of capital stock having prior rights to dividends, 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Liquidation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class of capital stock having prior rights to dividends, 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Conversion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is convertible at any time at the option of the holder into one share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Right of First Refusal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Other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Aptera’s Class A and Class B common stock have no preemptive, subscription or other rights, and there are no redemption or sinking fund provisions applicable to Aptera’s Class A or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Amended Charter, our board of directors will have the authority, without further action by our stockholders, to designate and issue shares of Preferred Stock in one or more series. Our board of directors may also designate the rights, preferences and privileges of the holders of each such series of Preferred Stock, any or all of which may be greater than or senior to those granted to the holders of common stock. Though the actual effect of any such issuance on the rights of the holders of common stock will not be known until such time as our board of directors determines the specific rights of the holders of Preferred Stock, the potential effects of such an issuance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diluting the voting power of the holders of common stock; reducing the likelihood that holders of common stock will receive dividend payments;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likelihood that holders of common stock will receive payments in the event of our liquidation, dissolution, or winding up;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delaying, deterring, or preventing a change-in-control or other corporate takeover.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All Classes of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is non-voting and is not entitled to any votes on any matter that is submitted to a vote of our stockholders, except as required by Delaware law. Delaware law would permit holders of Class B common stock to vote, with one vote per share, on a matter if we were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the par value of the common stock; 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 our Amended Charter to alter the powers, preferences, or special rights of the common stock as a whole in a way that would adversely affect the holders of our Class B common stock.</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Delaware law would permit holders of Class B common stock to vote separately, as a single class, if an amendment to our Amended Charter would adversely affect them by altering the powers, preferences, or special rights of the Class B common stock, but not the Class A common stock. As a result, in these limited instances, the holders of a majority of the Class B common stock could defeat any amendment to our Amended Charter. For example, if a proposed amendment of our Amended Charter provided for the Class B common stock to rank junior to the Class A common stock with respect to (i) any dividend or distribution, (ii) the distribution of proceeds were we to be acquired, or (iii) any other right, Delaware law would require the vote of the Class B common stock, with each share of Class B common stock entitled to one vote per share. In this instance, the holders of a majority of Class B common stock could defeat that amendment to our Amended Charter.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upon and following the “Final Conversion Date” -defined as the date that no shares of Class A common stock remain outstanding-holders of Class B common stock will be entitled to one vote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provides that the number of authorized shares of common stock or any class of common stock, including our Class B common stock, may be increased or decreased (but not below the number of shares of common stock then outstanding) by the affirmative vote of the holders of a majority of the Class A common stock. As a result, the holders of a majority of the outstanding Class A common stock can approve an increase or decrease in the number of authorized shares of Class B common stock without a separate vote of the holders of Class B common stock. This could allow us to increase and issue additional shares of Class B common stock beyond what is currently authorized in our Amended Charter without the consent of the holders of our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shares of Class A common stock will be entitled to one vote for each share thereof held at the record date for the determination of the stockholders entitled to vote on such matters or, if no such record date is established, the date such vote is taken or any written consent of stockholders is solicited.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shall be entitled to elect, remove and replace all directors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Dividend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Class A common stock and the Class B common stock shall be entitled to receive, on a pari passu basis, when and as declared by the Board of Directors, out of any assets of the Company legally available therefore, such dividends as may be declared from time to time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Liquidation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Company’s liquidation, or winding up, whether voluntary or involuntary, subject to the rights of any Preferred Stock that may then be outstanding, the assets of the Company legally available for distribution to stockholders shall be distributed on an equal priority, pro rata basis to the holders of Class A and Class B common stock, treated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Conversion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Class A common stock is convertible at any time at the option of the holder into one share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any transfer of shares of Class A common stock, whether or not for value, each such transferred share will automatically convert into one share of Class B common stock, except for certain transfers described in our Amended Charter, including certain transfers for tax and estate planning purposes, transfers approved by our Board, and transfers to certain family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 of First Refusal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2,266,105 shares of the Company’s Class A common stock are subject to transfer restrictions. Should the holders of those shares wish to sell or transfer their securities, except under certain limited circumstances, the Company has a right of first refusal to purchase those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Other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Aptera’s Class A and Class B common stock have no preemptive, subscription or other rights, and there are no redemption or sinking fund provisions applicable to Aptera’s Class A or Class B common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Public Benefit Corporation Status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public benefit corporation under subchapter XV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Amended Charter. We are also required to assess our benefit performance internally and to disclose to stockholders at least biennially a report that details our promotion of the public benefits identified in our Amended Charter and of the best interests of those materially affected by our conduct. We expect that our board of directors will measure our benefit performance against the objectives and standards proposed by the Company and approved by the board of directors. When determining the objectives and standards by which our board of directors will measure our public benefit performance, our board of directors will consider, among other factors, whether the objectives and standards are (i) comprehensive in that they assess the positive impact of our business on the communities in which we operate, and society and the environment, taken as a whole, (ii) credible in that they are comparable to the objectives and standards created by independent third parties that evaluate the corporate ethics, sustainability and governance practices of other public benefit corporations, and (iii) transparent in that the criteria considered for measuring such objectives and standards be made publicly available, including disclosing the process by which revisions to the objectives and standards are made and whether such objectives and standards present real or potential conflicts of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Delaware General Corporation Law, our stockholders may bring a derivative suit to enforce this requirement only if they own (individually or collectively), at least 2% of our outstanding shares or, upon our listing, the lesser of such percentage or shares of at least $2 million in market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Exclusive Forum Provision of our Certificate of Incorporation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Charter contains exclusive forum provisions that designate specific courts as the exclusive forums for certain legal actions. These provisions are intended to reduce the risk of costly and duplicative litigation but may limit a stockholder’s ability to bring claims in a judicial forum of their choosing.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Specifically, our Amended Charter provides that, to the fullest extent permitted by law, the Court of Chancery of the State of Delaware will be the exclusive forum for: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of breach of fiduciary duty;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arising pursuant to the Delaware General Corporation Law (DGCL), our Amended Charter, or our Bylaws;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governed by the internal affairs doctrine.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Amended Charter contains a federal forum provision that provides that the U.S. federal district courts shall be the exclusive forum for the resolution of any complaint asserting a cause of action arising under the Securities Act to the fullest extent permitted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exclusive forum provisions do not apply to claims under the Exchange Act which is subject to exclusive federal jurisdiction under Section 27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or holding any interest in our securities will be deemed to have notice of, and consented to, these exclusive forum provisions, including the federal forum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limit our stockholders’ ability to bring a claim in a forum they find favorable and may discourage lawsuits against us or our directors, officers, or employees. If a court were to find any of these provisions to be inapplicable or unenforceable in a particular case, we could incur additional costs associated with resolving the dispute in alternative jurisdictions, which could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Nasdaq under the symbol “SEV.”</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pp_011"/>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for us by Lowenstein Sandler LLP, New York,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pp_012"/>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Aptera Motors Corp. as of December 31, 2025 and 2024, and for the years then ended, appearing in Aptera Motor Corp.’s Annual Report on Form 10-K for the year ended December 31, 2025, have been audited by dbbMcKennon, independent registered public accounting firm, as set forth in their report thereon and incorporated herein by reference. Such financial statements are incorporated herein by reference in reliance upon such report of dbbMcKennon pertaining to such financial statements given on the authority of such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pp_013"/>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Securities and Exchange Commission (“SEC”) a registration statement on Form S-1 under the Securities Act, as amended (the “Securities Act”) for the securities being offered by this prospectus. This prospectus, which is part of the registration statement, does not contain all of the information included in the registration statement and the exhibits. For further information about us and the securities offered by this prospectus, you should refer to the registration statement and its exhibits. References in this prospectus to any of our contracts or other documents are not necessarily complete, and you should refer to the exhibits attached to the registration statement for copies of the actual contract or document. SEC filings are also available to the public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and information requirements of the Exchange Act and, as a result, we file periodic and current reports, proxy statements and other information with the SEC. We make our periodic reports and other information filed with or furnished to the SEC, available, free of charge, through our website as soon as reasonably practicable after those reports and other information are filed with or furnished to the SEC. Additionally, these periodic reports, proxy statements and other information are available for inspection and copying at the public reference room and website of the SEC referred to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we maintain a website at the following address: </w:t>
      </w:r>
      <w:r>
        <w:rPr>
          <w:rFonts w:ascii="Times New Roman;Times;Serif" w:hAnsi="Times New Roman;Times;Serif"/>
          <w:b w:val="false"/>
          <w:i/>
          <w:caps w:val="false"/>
          <w:smallCaps w:val="false"/>
          <w:sz w:val="20"/>
        </w:rPr>
        <w:t>https://aptera.us</w:t>
      </w:r>
      <w:r>
        <w:rPr>
          <w:rFonts w:ascii="Times New Roman;Times;Serif" w:hAnsi="Times New Roman;Times;Serif"/>
          <w:b w:val="false"/>
          <w:i w:val="false"/>
          <w:caps w:val="false"/>
          <w:smallCaps w:val="false"/>
          <w:sz w:val="20"/>
        </w:rPr>
        <w:t>. The information on our website is not incorporated by reference in this prospectus. We also make available on or through our website certain reports and amendments to those reports that we file with or furnish to the SEC in accordance with the Securities Exchange Act of 1934, as amended (“Exchange Act”). These include our Annual Reports on Form 10-K, our Quarterly Reports on Form 10-Q and our Current Reports on Form 8-K. We make this information available on our website free of charge as soon as reasonably practicable after we electronically file the information with, or furnish it to, the SEC. In addition, we routinely post on the “Investors” page of our website news releases, announcements and other statements about our business and results of operations, some of which may contain information that may be deemed material to investors. Therefore, we encourage investors to monitor the “Investors” page of our website and review the information we post on that page.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pp_014"/>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it into this prospectus, which means that we can disclose important information to you by referring you to those documents. The information incorporated by reference is an important part of this prospectus. The information incorporated by reference is considered to be a part of this prospectus, and information that we file later with the SEC will automatically update and supersede information contained in this prospectus and any accompanying prospectus supplement.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incorporate by reference the documents listed below that we have previously filed with the SEC:</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2025, filed on March 30,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Quarterly Report on </w:t>
            </w:r>
            <w:hyperlink r:id="rId4">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period ended March 31, 2026, filed on May 13, 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t>
            </w:r>
            <w:hyperlink r:id="rId5">
              <w:r>
                <w:rPr>
                  <w:rStyle w:val="InternetLink"/>
                  <w:rFonts w:ascii="Times New Roman;Times;Serif" w:hAnsi="Times New Roman;Times;Serif"/>
                  <w:b w:val="false"/>
                  <w:i w:val="false"/>
                  <w:caps w:val="false"/>
                  <w:smallCaps w:val="false"/>
                  <w:sz w:val="20"/>
                </w:rPr>
                <w:t>January 26, 2026</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March 12,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April 14,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July 7, 2026</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July 13, 2026</w:t>
              </w:r>
            </w:hyperlink>
            <w:r>
              <w:rPr>
                <w:rFonts w:ascii="Times New Roman;Times;Serif" w:hAnsi="Times New Roman;Times;Serif"/>
                <w:b w:val="false"/>
                <w:i w:val="false"/>
                <w:caps w:val="false"/>
                <w:smallCaps w:val="false"/>
                <w:sz w:val="20"/>
              </w:rPr>
              <w:t xml:space="preserve"> (other than any portions deemed furnished and not filed);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our common stock contained in our Registration Statement on </w:t>
            </w:r>
            <w:hyperlink r:id="rId10">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September 30, 2025, including any amendments thereto or reports filed for the purposes of updating this description, including </w:t>
            </w:r>
            <w:hyperlink r:id="rId11">
              <w:r>
                <w:rPr>
                  <w:rStyle w:val="InternetLink"/>
                  <w:rFonts w:ascii="Times New Roman;Times;Serif" w:hAnsi="Times New Roman;Times;Serif"/>
                  <w:b w:val="false"/>
                  <w:i w:val="false"/>
                  <w:caps w:val="false"/>
                  <w:smallCaps w:val="false"/>
                  <w:sz w:val="20"/>
                </w:rPr>
                <w:t>Exhibit 4.12</w:t>
              </w:r>
            </w:hyperlink>
            <w:r>
              <w:rPr>
                <w:rFonts w:ascii="Times New Roman;Times;Serif" w:hAnsi="Times New Roman;Times;Serif"/>
                <w:b w:val="false"/>
                <w:i w:val="false"/>
                <w:caps w:val="false"/>
                <w:smallCaps w:val="false"/>
                <w:sz w:val="20"/>
              </w:rPr>
              <w:t xml:space="preserve"> to our Annual Report on Form 10-K for the year ended December 31, 2025, filed with the SEC on March 30,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caps w:val="false"/>
          <w:smallCaps w:val="false"/>
        </w:rPr>
      </w:pPr>
      <w:r>
        <w:rPr>
          <w:caps w:val="false"/>
          <w:smallCaps w:val="false"/>
        </w:rPr>
        <w:drawing>
          <wp:inline distT="0" distB="0" distL="0" distR="0">
            <wp:extent cx="694690" cy="6946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694690" cy="69469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4,320,000 Shares of Class B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Issuable Upon Exercise of Outstanding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registration fee.</w:t>
      </w:r>
    </w:p>
    <w:p>
      <w:pPr>
        <w:pStyle w:val="TextBody"/>
        <w:bidi w:val="0"/>
        <w:spacing w:before="0" w:after="0"/>
        <w:ind w:left="0" w:right="0" w:firstLine="720"/>
        <w:jc w:val="both"/>
        <w:rPr>
          <w:caps w:val="false"/>
          <w:smallCaps w:val="false"/>
        </w:rPr>
      </w:pPr>
      <w:r>
        <w:rPr>
          <w:caps w:val="false"/>
          <w:smallCaps w:val="false"/>
        </w:rPr>
        <w:t> </w:t>
      </w:r>
    </w:p>
    <w:tbl>
      <w:tblPr>
        <w:tblW w:w="5730" w:type="dxa"/>
        <w:jc w:val="left"/>
        <w:tblInd w:w="0" w:type="dxa"/>
        <w:tblLayout w:type="fixed"/>
        <w:tblCellMar>
          <w:top w:w="0" w:type="dxa"/>
          <w:left w:w="0" w:type="dxa"/>
          <w:bottom w:w="0" w:type="dxa"/>
          <w:right w:w="0" w:type="dxa"/>
        </w:tblCellMar>
      </w:tblPr>
      <w:tblGrid>
        <w:gridCol w:w="4550"/>
        <w:gridCol w:w="60"/>
        <w:gridCol w:w="140"/>
        <w:gridCol w:w="905"/>
        <w:gridCol w:w="75"/>
      </w:tblGrid>
      <w:tr>
        <w:trPr/>
        <w:tc>
          <w:tcPr>
            <w:tcW w:w="45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rFonts w:ascii="Times New Roman;Times;Serif" w:hAnsi="Times New Roman;Times;Serif"/>
                <w:sz w:val="20"/>
              </w:rPr>
              <w:t>1,055.97</w:t>
            </w:r>
            <w:r>
              <w:rPr/>
              <w:t xml:space="preserve"> </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25,000</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25,000</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Transfer Agent and Registrar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4550" w:type="dxa"/>
            <w:tcBorders/>
            <w:shd w:fill="CCEEFF" w:val="clear"/>
            <w:vAlign w:val="center"/>
          </w:tcPr>
          <w:p>
            <w:pPr>
              <w:pStyle w:val="TableContents"/>
              <w:bidi w:val="0"/>
              <w:spacing w:before="0" w:after="283"/>
              <w:jc w:val="both"/>
              <w:rPr/>
            </w:pPr>
            <w:r>
              <w:rPr/>
              <w:t>Miscellaneous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5,000</w:t>
            </w:r>
          </w:p>
        </w:tc>
        <w:tc>
          <w:tcPr>
            <w:tcW w:w="75" w:type="dxa"/>
            <w:tcBorders/>
            <w:shd w:fill="CCEEFF" w:val="clear"/>
            <w:vAlign w:val="center"/>
          </w:tcPr>
          <w:p>
            <w:pPr>
              <w:pStyle w:val="TableContents"/>
              <w:bidi w:val="0"/>
              <w:spacing w:before="0" w:after="283"/>
              <w:jc w:val="left"/>
              <w:rPr/>
            </w:pPr>
            <w:r>
              <w:rPr/>
              <w:t> </w:t>
            </w:r>
          </w:p>
        </w:tc>
      </w:tr>
      <w:tr>
        <w:trPr/>
        <w:tc>
          <w:tcPr>
            <w:tcW w:w="4550" w:type="dxa"/>
            <w:tcBorders/>
            <w:shd w:fill="FFFFFF" w:val="clear"/>
            <w:vAlign w:val="center"/>
          </w:tcPr>
          <w:p>
            <w:pPr>
              <w:pStyle w:val="TableContents"/>
              <w:bidi w:val="0"/>
              <w:spacing w:before="0" w:after="283"/>
              <w:jc w:val="both"/>
              <w:rPr/>
            </w:pPr>
            <w:r>
              <w:rPr/>
              <w:t>Total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05" w:type="dxa"/>
            <w:tcBorders/>
            <w:shd w:fill="FFFFFF" w:val="clear"/>
            <w:vAlign w:val="center"/>
          </w:tcPr>
          <w:p>
            <w:pPr>
              <w:pStyle w:val="TableContents"/>
              <w:bidi w:val="0"/>
              <w:spacing w:before="0" w:after="283"/>
              <w:jc w:val="right"/>
              <w:rPr/>
            </w:pPr>
            <w:r>
              <w:rPr>
                <w:rFonts w:ascii="Times New Roman;Times;Serif" w:hAnsi="Times New Roman;Times;Serif"/>
                <w:sz w:val="20"/>
              </w:rPr>
              <w:t>61,055.97</w:t>
            </w:r>
            <w:r>
              <w:rPr/>
              <w:t xml:space="preserve"> </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Indemnification of Directors and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or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or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Amended Charter contains provisions that eliminate the personal liability of its directors for monetary damages for any breach of fiduciary duties as a director, except liability for the following:</w:t>
      </w:r>
    </w:p>
    <w:p>
      <w:pPr>
        <w:pStyle w:val="TextBody"/>
        <w:bidi w:val="0"/>
        <w:spacing w:before="0" w:after="0"/>
        <w:ind w:left="0" w:right="0" w:hanging="0"/>
        <w:jc w:val="both"/>
        <w:rPr>
          <w:caps w:val="false"/>
          <w:smallCaps w:val="false"/>
        </w:rPr>
      </w:pPr>
      <w:r>
        <w:rPr>
          <w:caps w:val="false"/>
          <w:smallCaps w:val="false"/>
        </w:rPr>
        <w:t> </w:t>
      </w:r>
    </w:p>
    <w:tbl>
      <w:tblPr>
        <w:tblW w:w="8755" w:type="dxa"/>
        <w:jc w:val="left"/>
        <w:tblInd w:w="0" w:type="dxa"/>
        <w:tblLayout w:type="fixed"/>
        <w:tblCellMar>
          <w:top w:w="0" w:type="dxa"/>
          <w:left w:w="0" w:type="dxa"/>
          <w:bottom w:w="0" w:type="dxa"/>
          <w:right w:w="0" w:type="dxa"/>
        </w:tblCellMar>
      </w:tblPr>
      <w:tblGrid>
        <w:gridCol w:w="75"/>
        <w:gridCol w:w="170"/>
        <w:gridCol w:w="85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breach of the director’s duty of loyalty to the registrant or its stockholders;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acts or omissions not in good faith or that involve intentional misconduct or a knowing violation of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(regarding unlawful dividends and stock purchases);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5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5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permitted by the DGCL, the registrant’s Bylaws provide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required to indemnify its directors and executive officers to the fullest extent permitted by the DGCL, subject to very limited exceptions;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may indemnify its other employees and agents as set forth in the DGCL;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is required to advance expenses, as incurred, to its directors and executive officers in connection with a legal proceeding to the fullest extent permitted by the DGCL, subject to very limited exceptions;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conferred in the Bylaws are not exclusive.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provisions in the registrant’s Amended Charter and Bylaws may be sufficiently broad to permit indemnification of the registrant’s directors and executive officers for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enter into indemnification agreements with each of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also intend to enter into indemnification agreements with our future directors and executive officers.</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the Company has sold the following securities that were not registered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Employee Stock Options (Rule 701):</w:t>
      </w:r>
      <w:r>
        <w:rPr>
          <w:rFonts w:ascii="Times New Roman;Times;Serif" w:hAnsi="Times New Roman;Times;Serif"/>
          <w:b w:val="false"/>
          <w:i w:val="false"/>
          <w:caps w:val="false"/>
          <w:smallCaps w:val="false"/>
          <w:sz w:val="20"/>
        </w:rPr>
        <w:t xml:space="preserve"> Beginning in March 17, 2022, the Company issued 1,980,830 shares of Class B Common Stock to directors, officers, employees, consultants, and service providers upon the exercise of options under the 2021 Stock Option and Incentive Plan, at per share purchase prices ranging from $27.60 to $31.50, in reliance on Rule 701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Zaptera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2026, the Company agreed to issue 105,000 shares of Class B Common Stock and warrants to purchase up to 210,000 shares of Class B Common Stock at an exercise price equal to $2.78 per share pursuant to a settlement agreement and release with Zaptera USA, Inc., in reliance on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Private Placements (Section 4(a)(2)):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2023, the Company issued 69,343 shares of Class B Common Stock to 9 separate service providers (5 of which are individuals (one of which was an employee of the Company), and 4 of which are entities) as consideration for approximately $2.2 million in services rendered to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$675,000 worth of convertible notes to non-affiliated accredited investors, bearing 12% annual interest and maturing in 24 months, convertible into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December 31, 2024, the Company issued to Amato and Partners, LLC, a vendor of the Company, a warrant to purchase 333,333 shares with an exercise price of $31.50. This warrant vests monthly through May 15, 2025, and expires on November 15, 2034. The Company has issued to the same vendor a warrant for 533,333 shares with an exercise price equal to the fair market value as described therein, and this warrant only vests and becomes exercisable at certain change of control events and expires on November 15, 2034. The Company has also issued warrants to US Capital Global Securities, LLC pursuant to four separate warrant agreements for an aggregate of 1,500 shares with an exercise price of $0.0001 and all of which expire in the third and fourth quarter of 2029.</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June 30, 2025, the Company issued 347 shares of Class B common stock to external consultants as compensation for services rendered. The aggregate grant-date fair value of these shares was approximately $15 thousand, based on a weighted-average issuance price of $44.40. The fair value was determined based on the contemporaneous cash sale prices of Class B common stock to third-party investors.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2026, in connection with its registered public offering, the Company entered into a placement agency agreement, dated January 22, 2026, with A.G.P./Alliance Global Partners (the “Placement Agent”) pursuant to which the Company issued to the Placement Agent warrants to purchase up to an aggregate of 135,000 shares of Class B common Stock at an exercise price equal to $2.10 per share. The Placement Agent warrants became exercisable immediately and have a term of five years.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March 2026, the Company issued to certain holders of existing warrants new warrants (the “Inducement Warrants”) to purchase up to 4,751,250 shares of Class B common stock. The Inducement Warrants have an exercise price of $3.50 per share, became exercisable immediately and will expire on the five-year anniversary of their issuance date.</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April 2026, the Company issued 105,000 shares of Class B Common Stock and warrants to purchase up to 210,000 shares of Class B Common Stock at an exercise price equal to $2.78 per share pursuant to a settlement agreement and release with Zaptera USA,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July 2026, the Company issued to certain holders of existing warrants new warrants (the “July Warrants”) to purchase up to 4,320,000 shares of Class B common stock. The July Warrants have an exercise price of $2.25 per share, will become exercisable on January 13, 2027 (“Initial Exercise Date”) and will expire on the five-year anniversary of their Initial Exercise Date.</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each of the private placements set forth above was used for working capital and general corporate purposes. No intermediary was involved in any of the offerings set forth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A Offerings: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2022, the Company sold 1,038,800 shares of Class B Common Stock for approximately $28.7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2023, the Company sold 1,076,716 shares of Class B Common Stock for approximately $33.9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322,037 shares of Class B Common Stock for approximately $10.2 million.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From June 30, 2025 to July 26, 2025 (the termination date of this offering), the Company sold 48,400 </w:t>
            </w:r>
            <w:r>
              <w:rPr>
                <w:rFonts w:ascii="Times New Roman;Times;Serif" w:hAnsi="Times New Roman;Times;Serif"/>
                <w:b w:val="false"/>
                <w:i/>
                <w:caps w:val="false"/>
                <w:smallCaps w:val="false"/>
                <w:sz w:val="20"/>
              </w:rPr>
              <w:t xml:space="preserve">shares of Class B </w:t>
            </w:r>
            <w:r>
              <w:rPr>
                <w:rFonts w:ascii="Times New Roman;Times;Serif" w:hAnsi="Times New Roman;Times;Serif"/>
                <w:b w:val="false"/>
                <w:i w:val="false"/>
                <w:caps w:val="false"/>
                <w:smallCaps w:val="false"/>
                <w:sz w:val="20"/>
              </w:rPr>
              <w:t>Common Stock for approximately $2.1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Regulation A offerings set forth above, Dalmore LLC and/or OpenDeal Broker LLC acted as broker-dealers, receiving aggregate commissions of 1% of the total proceeds. The sales were to retail investors and the proceeds from each of the Regulation A offerings set forth above was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D 506(c) Offerings: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2022, the Company sold 25,693 shares of Series B-1 Preferred Stock for $709 thousand to an SPV that is owned by 12 accredited investors, none of which have a material relationship with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2024, the Company sold 256,708 shares of Class B common stock for approximately $7.5 million to a large number of accredited investors with no material relationship to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June 30, 2025 to August 27</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2025, the Company sold 22,468 shares of Class B Common Stock for approximately $0.7 million to a large number of accredited investors with no material relationship to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proceeds from each of the Regulation D offerings set forth above was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Crowdfunding Offering: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May 30, 2024, to September 19, 2024, the Company sold 158,503 shares of Class B Common Stock for approximately $4,992,855. Jumpstart Micro, Inc. acted as the broker-dealer, receiving $249,643 in commissions.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for the Regulation Crowdfunding offering were to retail investors and the proceeds from the Regulation Crowdfunding offering set forth above were used for working capital and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 and Financial Statement Schedules</w:t>
      </w:r>
    </w:p>
    <w:p>
      <w:pPr>
        <w:pStyle w:val="TextBody"/>
        <w:bidi w:val="0"/>
        <w:spacing w:before="0" w:after="0"/>
        <w:ind w:left="0" w:right="0" w:hanging="0"/>
        <w:jc w:val="both"/>
        <w:rPr>
          <w:caps w:val="false"/>
          <w:smallCaps w:val="false"/>
        </w:rPr>
      </w:pPr>
      <w:r>
        <w:rPr>
          <w:caps w:val="false"/>
          <w:smallCaps w:val="false"/>
        </w:rPr>
        <w:t> </w:t>
      </w:r>
    </w:p>
    <w:tbl>
      <w:tblPr>
        <w:tblW w:w="9175" w:type="dxa"/>
        <w:jc w:val="left"/>
        <w:tblInd w:w="0" w:type="dxa"/>
        <w:tblLayout w:type="fixed"/>
        <w:tblCellMar>
          <w:top w:w="0" w:type="dxa"/>
          <w:left w:w="0" w:type="dxa"/>
          <w:bottom w:w="28" w:type="dxa"/>
          <w:right w:w="0" w:type="dxa"/>
        </w:tblCellMar>
      </w:tblPr>
      <w:tblGrid>
        <w:gridCol w:w="725"/>
        <w:gridCol w:w="60"/>
        <w:gridCol w:w="6080"/>
        <w:gridCol w:w="60"/>
        <w:gridCol w:w="500"/>
        <w:gridCol w:w="60"/>
        <w:gridCol w:w="650"/>
        <w:gridCol w:w="60"/>
        <w:gridCol w:w="980"/>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Description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Amended and Restated Certificate of Incorporation of Aptera Motors Corp.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Amended and Restated Bylaws of Aptera Motors Corp.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Form of Common Warrant (July 2026)</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7/13/2026</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Lowenstein Sandler LLP</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Form of Warrant Inducement Agreement</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7/13/2026</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Consent of Lowenstein Sandler LLP (included in Exhibit 5.1)</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w:anchor="pp_001">
              <w:r>
                <w:rPr>
                  <w:rStyle w:val="InternetLink"/>
                  <w:rFonts w:ascii="Times New Roman;Times;Serif" w:hAnsi="Times New Roman;Times;Serif"/>
                  <w:b w:val="false"/>
                  <w:i w:val="false"/>
                  <w:caps w:val="false"/>
                  <w:smallCaps w:val="false"/>
                  <w:sz w:val="20"/>
                </w:rPr>
                <w:t>Power of Attorney (included in the signature page hereto)</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80" w:type="dxa"/>
            <w:tcBorders/>
            <w:tcMar>
              <w:bottom w:w="0" w:type="dxa"/>
            </w:tcMar>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5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1390" w:type="dxa"/>
        <w:jc w:val="left"/>
        <w:tblInd w:w="0" w:type="dxa"/>
        <w:tblLayout w:type="fixed"/>
        <w:tblCellMar>
          <w:top w:w="0" w:type="dxa"/>
          <w:left w:w="0" w:type="dxa"/>
          <w:bottom w:w="0" w:type="dxa"/>
          <w:right w:w="0" w:type="dxa"/>
        </w:tblCellMar>
      </w:tblPr>
      <w:tblGrid>
        <w:gridCol w:w="140"/>
        <w:gridCol w:w="125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during any period in which offers or sales are being made, a post-effective amendment 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include any prospectus required by Section 10(a)(3)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include any material information with respect to the plan of distribution not previously disclosed in this registration statement or any material change to such information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 (a)(2) and (a)(3) above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for the purpose of determining any liability under the Securities Act, each such post-effective amendment shall be deemed to be a new registration statement relating to the securities offered therein, and the offering of those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remove from registration by means of a post-effective amendment any of the securities being registered that remain unsold at the termination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That, for the purpose of determining liability under the Securities Act to any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Each prospectus filed by the registrant pursuant to Rule 424(b)(3) shall be deemed to be part of this registration statement as of the date the filed prospectus was deemed part of and included in this registration statement;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Each prospectus required to be filed pursuant to Rule 424(b)(2), Rule 424(b)(5) or Rule 424(b)(7) as part of this registration statement in reliance on Rule 430B, relating to an offering made pursuant to Rule 415(a)(1)(i), Rule 415(a)(1)(vii) or Rule 415(a)(1)(x), for the purpose of providing the information required by Section 10(a) of the Securities Act, shall be deemed to be part of and included in this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this registration statement relating to the securities in this registration statement to which that prospectus relates, and the offering of those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statement made in this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preliminary prospectus or prospectus of the undersigned registrant relating to the offering required to be filed pursuant to Rule 424;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free writing prospectus relating to the offering prepared by or on behalf of the undersigned registrant or used or referred to by the undersigned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communication that is an offer in the offering made by the undersigned registrant to the purchaser.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those securities at that time shall be deemed to be the initial bona fide offering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Insofar as indemnification for liabilities arising under the Securities Act may be permitted to directors, officers and controlling persons of the registrant pursuant to the provisions described in Item 14 of this registration statement, or otherwise, the registrant has been advised that, in the opinion of the Commission, such indemnification is against public policy as expressed in the Securities Act and is therefore unenforceable. If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 registrant is against public policy as expressed in the Securities Act and will be governed by the final adjudication of such issue.</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S-1 and has duly caused this Registration Statement to be signed on its behalf by the undersigned, thereunto duly authorized, in the City of Carlsbad, California, on the day of August 7, 2026.</w:t>
      </w:r>
    </w:p>
    <w:p>
      <w:pPr>
        <w:pStyle w:val="TextBody"/>
        <w:bidi w:val="0"/>
        <w:spacing w:before="0" w:after="0"/>
        <w:ind w:left="0" w:right="0" w:firstLine="720"/>
        <w:jc w:val="both"/>
        <w:rPr>
          <w:caps w:val="false"/>
          <w:smallCaps w:val="false"/>
        </w:rPr>
      </w:pPr>
      <w:r>
        <w:rPr>
          <w:caps w:val="false"/>
          <w:smallCaps w:val="false"/>
        </w:rPr>
        <w:t> </w:t>
      </w:r>
    </w:p>
    <w:tbl>
      <w:tblPr>
        <w:tblW w:w="2905" w:type="dxa"/>
        <w:jc w:val="left"/>
        <w:tblInd w:w="0" w:type="dxa"/>
        <w:tblLayout w:type="fixed"/>
        <w:tblCellMar>
          <w:top w:w="0" w:type="dxa"/>
          <w:left w:w="0" w:type="dxa"/>
          <w:bottom w:w="0" w:type="dxa"/>
          <w:right w:w="0" w:type="dxa"/>
        </w:tblCellMar>
      </w:tblPr>
      <w:tblGrid>
        <w:gridCol w:w="75"/>
        <w:gridCol w:w="590"/>
        <w:gridCol w:w="22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83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APTERA MOTORS CORP.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caps w:val="false"/>
                <w:smallCaps w:val="false"/>
              </w:rPr>
            </w:pPr>
            <w:r>
              <w:rPr>
                <w:caps w:val="false"/>
                <w:smallCaps w:val="false"/>
              </w:rPr>
              <w:t> </w:t>
            </w:r>
          </w:p>
        </w:tc>
        <w:tc>
          <w:tcPr>
            <w:tcW w:w="224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2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2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5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24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pp_001"/>
      <w:bookmarkEnd w:id="14"/>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officers and directors of Aptera Motors Corp., hereby severally constitute and appoint Chris Anthony and Tom DaPolito, and each of them singly (with full power to each of them to act alone), to sign any and all amendments (including post-effective amendments) to this registration statement (or any other registration statement for the same offering that is to be effective upon filing pursuant to Rule 462(b) under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 to all intents and purposes as he might or could do in person, hereby ratifying and confirming all that said attorneys-in-fact and agents or any of them, or their or his substitute or substitutes, may lawfully do or cause to be done by virtue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on behalf of the registrant in the capacities and on the dates indicated.</w:t>
      </w:r>
    </w:p>
    <w:p>
      <w:pPr>
        <w:pStyle w:val="TextBody"/>
        <w:bidi w:val="0"/>
        <w:spacing w:before="0" w:after="0"/>
        <w:ind w:left="0" w:right="0" w:firstLine="720"/>
        <w:jc w:val="both"/>
        <w:rPr>
          <w:caps w:val="false"/>
          <w:smallCaps w:val="false"/>
        </w:rPr>
      </w:pPr>
      <w:r>
        <w:rPr>
          <w:caps w:val="false"/>
          <w:smallCaps w:val="false"/>
        </w:rPr>
        <w:t> </w:t>
      </w:r>
    </w:p>
    <w:tbl>
      <w:tblPr>
        <w:tblW w:w="7875" w:type="dxa"/>
        <w:jc w:val="left"/>
        <w:tblInd w:w="0" w:type="dxa"/>
        <w:tblLayout w:type="fixed"/>
        <w:tblCellMar>
          <w:top w:w="0" w:type="dxa"/>
          <w:left w:w="0" w:type="dxa"/>
          <w:bottom w:w="28" w:type="dxa"/>
          <w:right w:w="0" w:type="dxa"/>
        </w:tblCellMar>
      </w:tblPr>
      <w:tblGrid>
        <w:gridCol w:w="1460"/>
        <w:gridCol w:w="60"/>
        <w:gridCol w:w="5015"/>
        <w:gridCol w:w="60"/>
        <w:gridCol w:w="1280"/>
      </w:tblGrid>
      <w:tr>
        <w:trPr/>
        <w:tc>
          <w:tcPr>
            <w:tcW w:w="146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4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Chris Anthony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14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 Anthony</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Tom DaPolito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Interim Chief Financial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146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Tom DaPolito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 and Principal Accounting Officer)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Steve Fambro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 and 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14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Fambro</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Tony Kirton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r>
        <w:trPr/>
        <w:tc>
          <w:tcPr>
            <w:tcW w:w="14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Tony Kirton</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146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Todd Butz</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501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12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tc>
      </w:tr>
    </w:tbl>
    <w:p>
      <w:pPr>
        <w:pStyle w:val="TextBody"/>
        <w:bidi w:val="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pPr>
      <w:bookmarkStart w:id="15" w:name="ex5-1.htm"/>
      <w:bookmarkStart w:id="16" w:name="ksex51"/>
      <w:bookmarkEnd w:id="15"/>
      <w:bookmarkEnd w:id="1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965960" cy="62166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7"/>
                    <a:stretch>
                      <a:fillRect/>
                    </a:stretch>
                  </pic:blipFill>
                  <pic:spPr bwMode="auto">
                    <a:xfrm>
                      <a:off x="0" y="0"/>
                      <a:ext cx="1965960" cy="621665"/>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Aptera Motors Corp.</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5818 El Camino Real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Carlsbad, California 92008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Aptera Motors Corp.,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S-1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Registration Statement relates to the offer and sale by the selling stockholders identified therein of up to 4,320,000 shares of the Company’s Class B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Such shares of Common Stock consist of 4,320,000 shares of Common Stock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 issuable upon the exercise of the inducement warrants granted pursuant to that certain Inducement Agreement, dated July 10, 2026, by and among the Company and certain investors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rendering this opinion, we have examined the Amended and Restated Certificate of Incorporation, as amended, and the Amended and Restated Bylaws of the Company, as amended, the forms of the Warrants, and such other corporate records, agreements, documents and instruments, and such certificates or comparable documents of public officials and of officers and representatives of the Company, and we have made such inquiries of such officers and representatives, as we have deemed necessary or appropriate for the purposes of this opinion.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genuineness of all signatures, the legal capacity of all natural persons, the authenticity of all documents submitted to us as originals, the conformity of original documents of all documents submitted to us as certified, conformed or photostatic copies and the authenticity of the originals of such latter documents. As to all questions of fact material to these opinions that have not been independently established, we have relied upon certificates or comparable documents of officers and representatives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qualifications stated herein, we are of the opinion that when issued in accordance with the terms of the Warrants, the Warrant Shares will be duly authorized, validly issued, fully paid and non-assessable.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corporate laws of the State of Delaware, and we express no opinion as to the effect on the matters covered by this letter of the laws of any other jurisdiction.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a copy of this opinion letter as an exhibit to the Registration Statement. In giving such consent, we do not thereby admit that we are in the category of persons whose consent is required under Section 7 of the Act.</w:t>
      </w:r>
    </w:p>
    <w:p>
      <w:pPr>
        <w:pStyle w:val="TextBody"/>
        <w:bidi w:val="0"/>
        <w:spacing w:before="0" w:after="0"/>
        <w:ind w:left="0" w:right="0" w:firstLine="720"/>
        <w:jc w:val="both"/>
        <w:rPr>
          <w:caps w:val="false"/>
          <w:smallCaps w:val="false"/>
        </w:rPr>
      </w:pPr>
      <w:r>
        <w:rPr>
          <w:caps w:val="false"/>
          <w:smallCaps w:val="false"/>
        </w:rPr>
        <w:t> </w:t>
      </w:r>
    </w:p>
    <w:tbl>
      <w:tblPr>
        <w:tblW w:w="2345" w:type="dxa"/>
        <w:jc w:val="left"/>
        <w:tblInd w:w="0" w:type="dxa"/>
        <w:tblLayout w:type="fixed"/>
        <w:tblCellMar>
          <w:top w:w="0" w:type="dxa"/>
          <w:left w:w="0" w:type="dxa"/>
          <w:bottom w:w="0" w:type="dxa"/>
          <w:right w:w="0" w:type="dxa"/>
        </w:tblCellMar>
      </w:tblPr>
      <w:tblGrid>
        <w:gridCol w:w="75"/>
        <w:gridCol w:w="227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Lowenstein Sandler LLP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Lowenstein Sandler LLP</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rPr>
      </w:pPr>
      <w:bookmarkStart w:id="17" w:name="ex23-1.htm"/>
      <w:bookmarkStart w:id="18" w:name="ksex231"/>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right"/>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S-1, as amended, of our report dated March 30, 2026 related to the consolidated financial statements of Aptera Motors Corp. as of December 31, 2025 and 2024 and for the years then ended, which includes an explanatory paragraph regarding substantial doubt about Aptera Motor Corp.’s ability to continue as a going concern. We also consent to the reference to us in the “Experts” section of the Registration Statement.</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dbb</w:t>
      </w:r>
      <w:r>
        <w:rPr>
          <w:rFonts w:ascii="Times New Roman;Times;Serif" w:hAnsi="Times New Roman;Times;Serif"/>
          <w:b w:val="false"/>
          <w:i/>
          <w:caps w:val="false"/>
          <w:smallCaps w:val="false"/>
          <w:sz w:val="20"/>
        </w:rPr>
        <w:t>mckennon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Diego, California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7, 2026</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 w:name="ex107.htm"/>
      <w:bookmarkStart w:id="20" w:name="ksex107"/>
      <w:bookmarkStart w:id="21" w:name="ex107.htm"/>
      <w:bookmarkStart w:id="22" w:name="ksex107"/>
      <w:bookmarkEnd w:id="21"/>
      <w:bookmarkEnd w:id="22"/>
      <w:r>
        <w:br w:type="page"/>
      </w:r>
    </w:p>
    <w:tbl>
      <w:tblPr>
        <w:tblW w:w="3570" w:type="dxa"/>
        <w:jc w:val="left"/>
        <w:tblInd w:w="0" w:type="dxa"/>
        <w:tblLayout w:type="fixed"/>
        <w:tblCellMar>
          <w:top w:w="28" w:type="dxa"/>
          <w:left w:w="28" w:type="dxa"/>
          <w:bottom w:w="28" w:type="dxa"/>
          <w:right w:w="28" w:type="dxa"/>
        </w:tblCellMar>
      </w:tblPr>
      <w:tblGrid>
        <w:gridCol w:w="3416"/>
        <w:gridCol w:w="154"/>
      </w:tblGrid>
      <w:tr>
        <w:trPr/>
        <w:tc>
          <w:tcPr>
            <w:tcW w:w="357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6"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6" w:type="dxa"/>
            <w:tcBorders/>
            <w:vAlign w:val="center"/>
          </w:tcPr>
          <w:p>
            <w:pPr>
              <w:pStyle w:val="TableContents"/>
              <w:bidi w:val="0"/>
              <w:spacing w:before="0" w:after="283"/>
              <w:jc w:val="left"/>
              <w:rPr>
                <w:b/>
              </w:rPr>
            </w:pPr>
            <w:r>
              <w:rPr>
                <w:b/>
              </w:rPr>
              <w:t xml:space="preserve">Aptera Motors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31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54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31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par value $0.0001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4,320,000 </w:t>
            </w:r>
          </w:p>
        </w:tc>
        <w:tc>
          <w:tcPr>
            <w:tcW w:w="1156" w:type="dxa"/>
            <w:tcBorders/>
            <w:shd w:fill="E7E7E2" w:val="clear"/>
            <w:vAlign w:val="center"/>
          </w:tcPr>
          <w:p>
            <w:pPr>
              <w:pStyle w:val="TableContents"/>
              <w:bidi w:val="0"/>
              <w:spacing w:before="0" w:after="283"/>
              <w:jc w:val="right"/>
              <w:rPr/>
            </w:pPr>
            <w:r>
              <w:rPr/>
              <w:t xml:space="preserve">$ 1.77 </w:t>
            </w:r>
          </w:p>
        </w:tc>
        <w:tc>
          <w:tcPr>
            <w:tcW w:w="1546" w:type="dxa"/>
            <w:tcBorders/>
            <w:shd w:fill="E7E7E2" w:val="clear"/>
            <w:vAlign w:val="center"/>
          </w:tcPr>
          <w:p>
            <w:pPr>
              <w:pStyle w:val="TableContents"/>
              <w:bidi w:val="0"/>
              <w:spacing w:before="0" w:after="283"/>
              <w:jc w:val="right"/>
              <w:rPr/>
            </w:pPr>
            <w:r>
              <w:rPr/>
              <w:t xml:space="preserve">$ 7,646,400.00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$ 1,055.97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31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23" w:name="MaxAggtOfferingPrice"/>
            <w:bookmarkEnd w:id="23"/>
            <w:r>
              <w:rPr/>
              <w:t xml:space="preserve">$ 7,646,400.00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$ 1,055.97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5" w:name="TotalPreviouslyPaidAmt"/>
            <w:bookmarkEnd w:id="25"/>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6" w:name="TotalOffsetAmt"/>
            <w:bookmarkEnd w:id="26"/>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7" w:name="NetFeeAmt"/>
            <w:bookmarkEnd w:id="27"/>
            <w:r>
              <w:rPr/>
              <w:t xml:space="preserve">$ 1,055.97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5"/>
        <w:gridCol w:w="1297"/>
        <w:gridCol w:w="8703"/>
      </w:tblGrid>
      <w:tr>
        <w:trPr/>
        <w:tc>
          <w:tcPr>
            <w:tcW w:w="20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0" w:type="dxa"/>
            <w:gridSpan w:val="2"/>
            <w:tcBorders/>
            <w:vAlign w:val="center"/>
          </w:tcPr>
          <w:p>
            <w:pPr>
              <w:pStyle w:val="TableContents"/>
              <w:bidi w:val="0"/>
              <w:spacing w:before="0" w:after="283"/>
              <w:jc w:val="left"/>
              <w:rPr/>
            </w:pPr>
            <w:r>
              <w:rPr/>
              <w:t xml:space="preserve">Pursuant to Rule 416 under the Securities Act of 1933, as amended (the "Securities Act"), there is also being registered hereby such indeterminate number of additional common shares as may be issued or issuable because of stock splits, stock dividends stock distributions, and similar transactions. Estimated solely for the purpose of calculating the registration fee pursuant to Rule 457(c) under the Securities Act based on a per share price of $1.77, the average of the high $1.80 and low $1.74 reported sales prices of the registrant's common stock on the Nasdaq Capital Market on July 31, 2026. </w:t>
            </w:r>
          </w:p>
        </w:tc>
      </w:tr>
      <w:tr>
        <w:trPr/>
        <w:tc>
          <w:tcPr>
            <w:tcW w:w="1502" w:type="dxa"/>
            <w:gridSpan w:val="2"/>
            <w:tcBorders/>
            <w:vAlign w:val="center"/>
          </w:tcPr>
          <w:p>
            <w:pPr>
              <w:pStyle w:val="HorizontalLine"/>
              <w:pBdr>
                <w:bottom w:val="double" w:sz="2" w:space="0" w:color="808080"/>
              </w:pBdr>
              <w:bidi w:val="0"/>
              <w:spacing w:before="0" w:after="283"/>
              <w:jc w:val="left"/>
              <w:rPr/>
            </w:pPr>
            <w:r>
              <w:rPr/>
            </w:r>
          </w:p>
        </w:tc>
        <w:tc>
          <w:tcPr>
            <w:tcW w:w="870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86471/000149315226013581/form10-k.htm" TargetMode="External"/><Relationship Id="rId4" Type="http://schemas.openxmlformats.org/officeDocument/2006/relationships/hyperlink" Target="https://www.sec.gov/Archives/edgar/data/1786471/000149315226022732/form10-q.htm" TargetMode="External"/><Relationship Id="rId5" Type="http://schemas.openxmlformats.org/officeDocument/2006/relationships/hyperlink" Target="https://www.sec.gov/Archives/edgar/data/1786471/000149315226003512/form8-k.htm" TargetMode="External"/><Relationship Id="rId6" Type="http://schemas.openxmlformats.org/officeDocument/2006/relationships/hyperlink" Target="https://www.sec.gov/Archives/edgar/data/1786471/000149315226009780/form8-k.htm" TargetMode="External"/><Relationship Id="rId7" Type="http://schemas.openxmlformats.org/officeDocument/2006/relationships/hyperlink" Target="https://www.sec.gov/Archives/edgar/data/1786471/000149315226016473/form8-k.htm" TargetMode="External"/><Relationship Id="rId8" Type="http://schemas.openxmlformats.org/officeDocument/2006/relationships/hyperlink" Target="https://www.sec.gov/Archives/edgar/data/1786471/000149315226032258/form8-k.htm" TargetMode="External"/><Relationship Id="rId9" Type="http://schemas.openxmlformats.org/officeDocument/2006/relationships/hyperlink" Target="https://www.sec.gov/Archives/edgar/data/1786471/000149315226033058/form8-k.htm" TargetMode="External"/><Relationship Id="rId10" Type="http://schemas.openxmlformats.org/officeDocument/2006/relationships/hyperlink" Target="https://www.sec.gov/Archives/edgar/data/1786471/000149315225016237/form8a12b.htm" TargetMode="External"/><Relationship Id="rId11" Type="http://schemas.openxmlformats.org/officeDocument/2006/relationships/hyperlink" Target="https://www.sec.gov/Archives/edgar/data/1786471/000149315226013581/ex4-12.htm" TargetMode="External"/><Relationship Id="rId12" Type="http://schemas.openxmlformats.org/officeDocument/2006/relationships/image" Target="media/image1.jpeg"/><Relationship Id="rId13" Type="http://schemas.openxmlformats.org/officeDocument/2006/relationships/hyperlink" Target="https://www.sec.gov/Archives/edgar/data/1786471/000149315225016548/ex3-1.htm" TargetMode="External"/><Relationship Id="rId14" Type="http://schemas.openxmlformats.org/officeDocument/2006/relationships/hyperlink" Target="https://www.sec.gov/Archives/edgar/data/1786471/000149315225016548/ex3-2.htm" TargetMode="External"/><Relationship Id="rId15" Type="http://schemas.openxmlformats.org/officeDocument/2006/relationships/hyperlink" Target="https://www.sec.gov/Archives/edgar/data/1786471/000149315226033058/ex4-1.htm" TargetMode="External"/><Relationship Id="rId16" Type="http://schemas.openxmlformats.org/officeDocument/2006/relationships/hyperlink" Target="https://www.sec.gov/Archives/edgar/data/1786471/000149315226033058/ex10-1.htm" TargetMode="External"/><Relationship Id="rId17" Type="http://schemas.openxmlformats.org/officeDocument/2006/relationships/image" Target="media/image2.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14918</Words>
  <Characters>78731</Characters>
  <CharactersWithSpaces>93820</CharactersWithSpaces>
  <Paragraphs>1530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