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101__20"/>
      <w:bookmarkEnd w:id="2"/>
      <w:r>
        <w:rPr>
          <w:rFonts w:ascii="Times New Roman;Times;Serif" w:hAnsi="Times New Roman;Times;Serif"/>
          <w:b/>
          <w:i w:val="false"/>
          <w:caps w:val="false"/>
          <w:smallCaps w:val="false"/>
          <w:sz w:val="36"/>
        </w:rPr>
        <w:t>10-Q</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pBdr/>
        <w:bidi w:val="0"/>
        <w:spacing w:before="0" w:after="0"/>
        <w:ind w:left="0" w:right="0" w:hanging="0"/>
        <w:jc w:val="center"/>
        <w:rPr>
          <w:caps w:val="false"/>
          <w:smallCaps w:val="false"/>
        </w:rPr>
      </w:pPr>
      <w:bookmarkStart w:id="3" w:name="xdx_904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 ended </w:t>
      </w:r>
      <w:bookmarkStart w:id="4" w:name="xdx_907_edei--DocumentPeriodEndDate_c202"/>
      <w:bookmarkEnd w:id="4"/>
      <w:r>
        <w:rPr>
          <w:rFonts w:ascii="Times New Roman;Times;Serif" w:hAnsi="Times New Roman;Times;Serif"/>
          <w:b/>
          <w:i w:val="false"/>
          <w:caps w:val="false"/>
          <w:smallCaps w:val="false"/>
          <w:sz w:val="20"/>
        </w:rPr>
        <w:t xml:space="preserve">March 31, </w:t>
      </w:r>
      <w:bookmarkStart w:id="5" w:name="xdx_90B_edei--DocumentFiscalYearFocus_c2"/>
      <w:bookmarkEnd w:id="5"/>
      <w:r>
        <w:rPr>
          <w:rFonts w:ascii="Times New Roman;Times;Serif" w:hAnsi="Times New Roman;Times;Serif"/>
          <w:b/>
          <w:i w:val="false"/>
          <w:caps w:val="false"/>
          <w:smallCaps w:val="false"/>
          <w:sz w:val="20"/>
        </w:rPr>
        <w:t>2026</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bookmarkStart w:id="6" w:name="xdx_903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9_edei--EntityFileNumber_c20260101"/>
      <w:bookmarkEnd w:id="7"/>
      <w:r>
        <w:rPr>
          <w:rFonts w:ascii="Times New Roman;Times;Serif" w:hAnsi="Times New Roman;Times;Serif"/>
          <w:b/>
          <w:i w:val="false"/>
          <w:caps w:val="false"/>
          <w:smallCaps w:val="false"/>
          <w:sz w:val="20"/>
          <w:u w:val="single"/>
        </w:rPr>
        <w:t>001-42884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8" w:name="xdx_90B_edei--EntityRegistrantName_c2026"/>
      <w:bookmarkEnd w:id="8"/>
      <w:r>
        <w:rPr>
          <w:rFonts w:ascii="Times New Roman;Times;Serif" w:hAnsi="Times New Roman;Times;Serif"/>
          <w:b/>
          <w:i w:val="false"/>
          <w:caps w:val="false"/>
          <w:smallCaps w:val="false"/>
          <w:sz w:val="36"/>
        </w:rPr>
        <w:t>APTERA MOTORS CORP.</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ind w:left="0" w:right="0" w:hanging="0"/>
        <w:jc w:val="both"/>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5_edei--EntityTaxIdentificationNum"/>
            <w:bookmarkEnd w:id="10"/>
            <w:r>
              <w:rPr>
                <w:rFonts w:ascii="Times New Roman;Times;Serif" w:hAnsi="Times New Roman;Times;Serif"/>
                <w:b/>
                <w:i w:val="false"/>
                <w:caps w:val="false"/>
                <w:smallCaps w:val="false"/>
                <w:sz w:val="20"/>
              </w:rPr>
              <w:t>83-4079594</w:t>
            </w:r>
          </w:p>
        </w:tc>
      </w:tr>
      <w:tr>
        <w:trPr/>
        <w:tc>
          <w:tcPr>
            <w:tcW w:w="249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pBdr/>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11" w:name="xdx_90C_edei--EntityAddressAddressLine1_"/>
            <w:bookmarkEnd w:id="11"/>
            <w:r>
              <w:rPr>
                <w:rFonts w:ascii="Times New Roman;Times;Serif" w:hAnsi="Times New Roman;Times;Serif"/>
                <w:b/>
                <w:i w:val="false"/>
                <w:caps w:val="false"/>
                <w:smallCaps w:val="false"/>
                <w:sz w:val="20"/>
              </w:rPr>
              <w:t xml:space="preserve">5818 El Camino Real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12" w:name="xdx_906_edei--EntityAddressCityOrTown_c2"/>
            <w:bookmarkEnd w:id="12"/>
            <w:r>
              <w:rPr>
                <w:rFonts w:ascii="Times New Roman;Times;Serif" w:hAnsi="Times New Roman;Times;Serif"/>
                <w:b/>
                <w:i w:val="false"/>
                <w:caps w:val="false"/>
                <w:smallCaps w:val="false"/>
                <w:sz w:val="20"/>
              </w:rPr>
              <w:t xml:space="preserve">Carlsbad, </w:t>
            </w:r>
            <w:bookmarkStart w:id="13" w:name="xdx_909_edei--EntityAddressStateOrProvin"/>
            <w:bookmarkEnd w:id="13"/>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2_edei--EntityAddressPostalZipCode"/>
            <w:bookmarkEnd w:id="14"/>
            <w:r>
              <w:rPr>
                <w:rFonts w:ascii="Times New Roman;Times;Serif" w:hAnsi="Times New Roman;Times;Serif"/>
                <w:b/>
                <w:i w:val="false"/>
                <w:caps w:val="false"/>
                <w:smallCaps w:val="false"/>
                <w:sz w:val="20"/>
              </w:rPr>
              <w:t>92008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5" w:name="xdx_906_edei--CityAreaCode_c20260101__20"/>
      <w:bookmarkEnd w:id="15"/>
      <w:r>
        <w:rPr>
          <w:rFonts w:ascii="Times New Roman;Times;Serif" w:hAnsi="Times New Roman;Times;Serif"/>
          <w:b/>
          <w:i w:val="false"/>
          <w:caps w:val="false"/>
          <w:smallCaps w:val="false"/>
          <w:sz w:val="20"/>
        </w:rPr>
        <w:t xml:space="preserve">(858) </w:t>
      </w:r>
      <w:bookmarkStart w:id="16" w:name="xdx_90E_edei--LocalPhoneNumber_c20260101"/>
      <w:bookmarkEnd w:id="16"/>
      <w:r>
        <w:rPr>
          <w:rFonts w:ascii="Times New Roman;Times;Serif" w:hAnsi="Times New Roman;Times;Serif"/>
          <w:b/>
          <w:i w:val="false"/>
          <w:caps w:val="false"/>
          <w:smallCaps w:val="false"/>
          <w:sz w:val="20"/>
        </w:rPr>
        <w:t>371-3151</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(Issuer’s telephone number)</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both"/>
        <w:rPr>
          <w:caps w:val="false"/>
          <w:smallCaps w:val="false"/>
        </w:rPr>
      </w:pPr>
      <w:r>
        <w:rPr>
          <w:caps w:val="false"/>
          <w:smallCaps w:val="false"/>
        </w:rPr>
        <w:t> </w:t>
      </w:r>
    </w:p>
    <w:tbl>
      <w:tblPr>
        <w:tblW w:w="9900" w:type="dxa"/>
        <w:jc w:val="left"/>
        <w:tblInd w:w="0" w:type="dxa"/>
        <w:tblLayout w:type="fixed"/>
        <w:tblCellMar>
          <w:top w:w="0" w:type="dxa"/>
          <w:left w:w="0" w:type="dxa"/>
          <w:bottom w:w="28" w:type="dxa"/>
          <w:right w:w="0" w:type="dxa"/>
        </w:tblCellMar>
      </w:tblPr>
      <w:tblGrid>
        <w:gridCol w:w="4460"/>
        <w:gridCol w:w="60"/>
        <w:gridCol w:w="1610"/>
        <w:gridCol w:w="60"/>
        <w:gridCol w:w="371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7" w:name="xdx_907_edei--Security12bTitle_c20260101"/>
            <w:bookmarkEnd w:id="17"/>
            <w:r>
              <w:rPr>
                <w:rFonts w:ascii="Times New Roman;Times;Serif" w:hAnsi="Times New Roman;Times;Serif"/>
                <w:b/>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8_edei--TradingSymbol_c20260101__2"/>
            <w:bookmarkEnd w:id="18"/>
            <w:r>
              <w:rPr>
                <w:rFonts w:ascii="Times New Roman;Times;Serif" w:hAnsi="Times New Roman;Times;Serif"/>
                <w:b/>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19" w:name="xdx_90B_edei--SecurityExchangeName_c2026"/>
            <w:bookmarkEnd w:id="19"/>
            <w:r>
              <w:rPr>
                <w:rFonts w:ascii="Times New Roman;Times;Serif" w:hAnsi="Times New Roman;Times;Serif"/>
                <w:b/>
                <w:i w:val="false"/>
                <w:caps w:val="false"/>
                <w:smallCaps w:val="false"/>
                <w:sz w:val="20"/>
              </w:rPr>
              <w:t>Nasdaq Capital Market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w:t>
      </w:r>
      <w:bookmarkStart w:id="20" w:name="xdx_90E_edei--EntityCurrentReportingStat"/>
      <w:bookmarkEnd w:id="20"/>
      <w:r>
        <w:rPr>
          <w:rFonts w:ascii="Times New Roman;Times;Serif" w:hAnsi="Times New Roman;Times;Serif"/>
          <w:b w:val="false"/>
          <w:i w:val="false"/>
          <w:caps w:val="false"/>
          <w:smallCaps w:val="false"/>
          <w:sz w:val="20"/>
        </w:rPr>
        <w:t>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1" w:name="xdx_900_edei--EntityInteractiveDataCurre"/>
      <w:bookmarkEnd w:id="21"/>
      <w:r>
        <w:rPr>
          <w:rFonts w:ascii="Times New Roman;Times;Serif" w:hAnsi="Times New Roman;Times;Serif"/>
          <w:b w:val="false"/>
          <w:i w:val="false"/>
          <w:caps w:val="false"/>
          <w:smallCaps w:val="false"/>
          <w:sz w:val="20"/>
        </w:rPr>
        <w:t>Yes ☒ No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pBdr/>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2" w:name="xdx_909_edei--EntityFilerCategory_c20260"/>
            <w:bookmarkEnd w:id="22"/>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3" w:name="xdx_906_edei--EntitySmallBusiness_c20260"/>
            <w:bookmarkEnd w:id="23"/>
            <w:r>
              <w:rPr>
                <w:caps w:val="false"/>
                <w:smallCaps w:val="false"/>
              </w:rPr>
              <w:t>☒</w:t>
            </w:r>
          </w:p>
        </w:tc>
      </w:tr>
      <w:tr>
        <w:trPr/>
        <w:tc>
          <w:tcPr>
            <w:tcW w:w="2065"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4" w:name="xdx_90C_edei--EntityEmergingGrowthCompan"/>
            <w:bookmarkEnd w:id="24"/>
            <w:r>
              <w:rPr>
                <w:caps w:val="false"/>
                <w:smallCaps w:val="false"/>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7_edei--EntityExTransitionPeriod_c"/>
      <w:bookmarkEnd w:id="25"/>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6" w:name="xdx_903_edei--EntityShellCompany_dbF_c20"/>
      <w:bookmarkEnd w:id="26"/>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8, 2026, there were </w:t>
      </w:r>
      <w:bookmarkStart w:id="27" w:name="xdx_905_edei--EntityCommonStockSharesOut"/>
      <w:bookmarkEnd w:id="27"/>
      <w:r>
        <w:rPr>
          <w:rFonts w:ascii="Times New Roman;Times;Serif" w:hAnsi="Times New Roman;Times;Serif"/>
          <w:b w:val="false"/>
          <w:i w:val="false"/>
          <w:caps w:val="false"/>
          <w:smallCaps w:val="false"/>
          <w:sz w:val="20"/>
        </w:rPr>
        <w:t>24,627,694 Class B Common Stock, $</w:t>
      </w:r>
      <w:bookmarkStart w:id="28" w:name="xdx_901_edei--EntityListingParValuePerSh"/>
      <w:bookmarkEnd w:id="28"/>
      <w:r>
        <w:rPr>
          <w:rFonts w:ascii="Times New Roman;Times;Serif" w:hAnsi="Times New Roman;Times;Serif"/>
          <w:b w:val="false"/>
          <w:i w:val="false"/>
          <w:caps w:val="false"/>
          <w:smallCaps w:val="false"/>
          <w:sz w:val="20"/>
        </w:rPr>
        <w:t>0.0001 par value issued and outstanding.</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10-Q FOR THE QUARTER ENDED MARCH 31, 2026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Part I. Financial Information</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Item 1. Interim Financial Statements (Unaudited)</w:t>
              </w:r>
            </w:hyperlink>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March 31, 2026 and December 31,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50"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Months Ended March 31,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50"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750"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 for the Three Months Ended March 31,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750"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750"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750" w:type="dxa"/>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750"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750"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Part II. Other Information</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9750" w:type="dxa"/>
            <w:tcBorders/>
            <w:shd w:fill="FFFFFF" w:val="clear"/>
            <w:vAlign w:val="center"/>
          </w:tcPr>
          <w:p>
            <w:pPr>
              <w:pStyle w:val="TableContents"/>
              <w:bidi w:val="0"/>
              <w:spacing w:before="0" w:after="283"/>
              <w:jc w:val="both"/>
              <w:rPr/>
            </w:pPr>
            <w:hyperlink w:anchor="a_018">
              <w:r>
                <w:rPr>
                  <w:rStyle w:val="InternetLink"/>
                  <w:rFonts w:ascii="Times New Roman;Times;Serif" w:hAnsi="Times New Roman;Times;Serif"/>
                  <w:b w:val="false"/>
                  <w:i w:val="false"/>
                  <w:caps w:val="false"/>
                  <w:smallCaps w:val="false"/>
                  <w:sz w:val="20"/>
                </w:rPr>
                <w:t>Item 6. Exhibits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750" w:type="dxa"/>
            <w:tcBorders/>
            <w:shd w:fill="CCEEFF" w:val="clear"/>
            <w:vAlign w:val="center"/>
          </w:tcPr>
          <w:p>
            <w:pPr>
              <w:pStyle w:val="TableContents"/>
              <w:bidi w:val="0"/>
              <w:spacing w:before="0" w:after="283"/>
              <w:jc w:val="both"/>
              <w:rPr/>
            </w:pPr>
            <w:hyperlink w:anchor="a_019">
              <w:r>
                <w:rPr>
                  <w:rStyle w:val="InternetLink"/>
                  <w:rFonts w:ascii="Times New Roman;Times;Serif" w:hAnsi="Times New Roman;Times;Serif"/>
                  <w:b w:val="false"/>
                  <w:i w:val="false"/>
                  <w:caps w:val="false"/>
                  <w:smallCaps w:val="false"/>
                  <w:sz w:val="20"/>
                </w:rPr>
                <w:t>Part III. 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pBdr/>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PART I - FINANCIAL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0" w:name="a_002"/>
      <w:bookmarkEnd w:id="30"/>
      <w:r>
        <w:rPr>
          <w:rFonts w:ascii="Times New Roman;Times;Serif" w:hAnsi="Times New Roman;Times;Serif"/>
          <w:b/>
          <w:i w:val="false"/>
          <w:caps w:val="false"/>
          <w:smallCaps w:val="false"/>
          <w:sz w:val="20"/>
        </w:rPr>
        <w:t>Item 1. Interim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31" w:name="a_003"/>
      <w:bookmarkEnd w:id="31"/>
      <w:r>
        <w:rPr>
          <w:rFonts w:ascii="Times New Roman;Times;Serif" w:hAnsi="Times New Roman;Times;Serif"/>
          <w:b/>
          <w:i w:val="false"/>
          <w:caps w:val="false"/>
          <w:smallCaps w:val="false"/>
          <w:sz w:val="20"/>
        </w:rPr>
        <w:t>CONDENSED CONSOLIDATED BALANCE SHEETS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D_111_pn3n3_zL2nQXxAw37h"/>
      <w:bookmarkStart w:id="33" w:name="xdx_30D_111_pn3n3_zL2nQXxAw37h"/>
      <w:bookmarkEnd w:id="33"/>
    </w:p>
    <w:tbl>
      <w:tblPr>
        <w:tblW w:w="10205" w:type="dxa"/>
        <w:jc w:val="left"/>
        <w:tblInd w:w="0" w:type="dxa"/>
        <w:tblLayout w:type="fixed"/>
        <w:tblCellMar>
          <w:top w:w="0" w:type="dxa"/>
          <w:left w:w="0" w:type="dxa"/>
          <w:bottom w:w="0" w:type="dxa"/>
          <w:right w:w="0" w:type="dxa"/>
        </w:tblCellMar>
      </w:tblPr>
      <w:tblGrid>
        <w:gridCol w:w="7295"/>
        <w:gridCol w:w="60"/>
        <w:gridCol w:w="168"/>
        <w:gridCol w:w="1051"/>
        <w:gridCol w:w="95"/>
        <w:gridCol w:w="60"/>
        <w:gridCol w:w="187"/>
        <w:gridCol w:w="1177"/>
        <w:gridCol w:w="112"/>
      </w:tblGrid>
      <w:tr>
        <w:trPr/>
        <w:tc>
          <w:tcPr>
            <w:tcW w:w="7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7_20260331_znT5NWd61mod"/>
            <w:bookmarkEnd w:id="34"/>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 w:name="xdx_499_20251231_zfwgdL0vfId1"/>
            <w:bookmarkEnd w:id="35"/>
          </w:p>
        </w:tc>
        <w:tc>
          <w:tcPr>
            <w:tcW w:w="13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bookmarkStart w:id="36" w:name="xdx_402_eus-gaap--AssetsAbstract_iB_zxDq"/>
            <w:bookmarkEnd w:id="36"/>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7" w:name="xdx_40B_eus-gaap--AssetsCurrentAbstract_"/>
            <w:bookmarkEnd w:id="37"/>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38" w:name="xdx_40C_eus-gaap--CashAndCashEquivalents"/>
            <w:bookmarkEnd w:id="38"/>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9,608</w:t>
            </w:r>
          </w:p>
        </w:tc>
        <w:tc>
          <w:tcPr>
            <w:tcW w:w="112" w:type="dxa"/>
            <w:tcBorders/>
            <w:shd w:fill="CCEEFF" w:val="clear"/>
            <w:vAlign w:val="center"/>
          </w:tcPr>
          <w:p>
            <w:pPr>
              <w:pStyle w:val="TableContents"/>
              <w:bidi w:val="0"/>
              <w:spacing w:before="0" w:after="283"/>
              <w:jc w:val="left"/>
              <w:rPr/>
            </w:pPr>
            <w:r>
              <w:rPr/>
              <w:t> </w:t>
            </w:r>
            <w:bookmarkStart w:id="39" w:name="xdx_403_eus-gaap--PrepaidExpenseAndOther"/>
            <w:bookmarkEnd w:id="39"/>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Prepaids and other</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w:t>
            </w:r>
          </w:p>
        </w:tc>
        <w:tc>
          <w:tcPr>
            <w:tcW w:w="112" w:type="dxa"/>
            <w:tcBorders/>
            <w:shd w:fill="FFFFFF" w:val="clear"/>
            <w:vAlign w:val="center"/>
          </w:tcPr>
          <w:p>
            <w:pPr>
              <w:pStyle w:val="TableContents"/>
              <w:bidi w:val="0"/>
              <w:spacing w:before="0" w:after="283"/>
              <w:jc w:val="left"/>
              <w:rPr/>
            </w:pPr>
            <w:r>
              <w:rPr/>
              <w:t> </w:t>
            </w:r>
            <w:bookmarkStart w:id="40" w:name="xdx_404_eus-gaap--AssetsCurrent_i02TI_mt"/>
            <w:bookmarkEnd w:id="40"/>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10,119</w:t>
            </w:r>
          </w:p>
        </w:tc>
        <w:tc>
          <w:tcPr>
            <w:tcW w:w="112" w:type="dxa"/>
            <w:tcBorders/>
            <w:shd w:fill="CCEEFF" w:val="clear"/>
            <w:vAlign w:val="center"/>
          </w:tcPr>
          <w:p>
            <w:pPr>
              <w:pStyle w:val="TableContents"/>
              <w:bidi w:val="0"/>
              <w:spacing w:before="0" w:after="283"/>
              <w:jc w:val="left"/>
              <w:rPr/>
            </w:pPr>
            <w:r>
              <w:rPr/>
              <w:t> </w:t>
            </w:r>
            <w:bookmarkStart w:id="41" w:name="xdx_409_ecustom--DepositsAndOtherLongTer"/>
            <w:bookmarkEnd w:id="41"/>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 and other long-term assets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w:t>
            </w:r>
          </w:p>
        </w:tc>
        <w:tc>
          <w:tcPr>
            <w:tcW w:w="112" w:type="dxa"/>
            <w:tcBorders/>
            <w:shd w:fill="FFFFFF" w:val="clear"/>
            <w:vAlign w:val="center"/>
          </w:tcPr>
          <w:p>
            <w:pPr>
              <w:pStyle w:val="TableContents"/>
              <w:bidi w:val="0"/>
              <w:spacing w:before="0" w:after="283"/>
              <w:jc w:val="left"/>
              <w:rPr/>
            </w:pPr>
            <w:r>
              <w:rPr/>
              <w:t> </w:t>
            </w:r>
            <w:bookmarkStart w:id="42" w:name="xdx_401_eus-gaap--PropertyPlantAndEquipm"/>
            <w:bookmarkEnd w:id="42"/>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17,753</w:t>
            </w:r>
          </w:p>
        </w:tc>
        <w:tc>
          <w:tcPr>
            <w:tcW w:w="112" w:type="dxa"/>
            <w:tcBorders/>
            <w:shd w:fill="CCEEFF" w:val="clear"/>
            <w:vAlign w:val="center"/>
          </w:tcPr>
          <w:p>
            <w:pPr>
              <w:pStyle w:val="TableContents"/>
              <w:bidi w:val="0"/>
              <w:spacing w:before="0" w:after="283"/>
              <w:jc w:val="left"/>
              <w:rPr/>
            </w:pPr>
            <w:r>
              <w:rPr/>
              <w:t> </w:t>
            </w:r>
            <w:bookmarkStart w:id="43" w:name="xdx_405_eus-gaap--OperatingLeaseRightOfU"/>
            <w:bookmarkEnd w:id="43"/>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 of use assets – operating lease, net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w:t>
            </w:r>
          </w:p>
        </w:tc>
        <w:tc>
          <w:tcPr>
            <w:tcW w:w="112" w:type="dxa"/>
            <w:tcBorders/>
            <w:shd w:fill="FFFFFF" w:val="clear"/>
            <w:vAlign w:val="center"/>
          </w:tcPr>
          <w:p>
            <w:pPr>
              <w:pStyle w:val="TableContents"/>
              <w:bidi w:val="0"/>
              <w:spacing w:before="0" w:after="283"/>
              <w:jc w:val="left"/>
              <w:rPr/>
            </w:pPr>
            <w:r>
              <w:rPr/>
              <w:t> </w:t>
            </w:r>
            <w:bookmarkStart w:id="44" w:name="xdx_405_eus-gaap--Assets_i01TI_mtAz8wp_z"/>
            <w:bookmarkEnd w:id="44"/>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30,237</w:t>
            </w:r>
          </w:p>
        </w:tc>
        <w:tc>
          <w:tcPr>
            <w:tcW w:w="112" w:type="dxa"/>
            <w:tcBorders/>
            <w:shd w:fill="CCEEFF" w:val="clear"/>
            <w:vAlign w:val="center"/>
          </w:tcPr>
          <w:p>
            <w:pPr>
              <w:pStyle w:val="TableContents"/>
              <w:bidi w:val="0"/>
              <w:spacing w:before="0" w:after="283"/>
              <w:jc w:val="left"/>
              <w:rPr/>
            </w:pPr>
            <w:r>
              <w:rPr/>
              <w:t> </w:t>
            </w:r>
          </w:p>
        </w:tc>
      </w:tr>
      <w:tr>
        <w:trPr/>
        <w:tc>
          <w:tcPr>
            <w:tcW w:w="7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5" w:name="xdx_40A_eus-gaap--LiabilitiesAndStockhol"/>
            <w:bookmarkEnd w:id="45"/>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6" w:name="xdx_405_eus-gaap--LiabilitiesCurrentAbst"/>
            <w:bookmarkEnd w:id="46"/>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47" w:name="xdx_406_eus-gaap--AccountsPayableCurrent"/>
            <w:bookmarkEnd w:id="47"/>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w:t>
            </w:r>
          </w:p>
        </w:tc>
        <w:tc>
          <w:tcPr>
            <w:tcW w:w="112" w:type="dxa"/>
            <w:tcBorders/>
            <w:shd w:fill="CCEEFF" w:val="clear"/>
            <w:vAlign w:val="center"/>
          </w:tcPr>
          <w:p>
            <w:pPr>
              <w:pStyle w:val="TableContents"/>
              <w:bidi w:val="0"/>
              <w:spacing w:before="0" w:after="283"/>
              <w:jc w:val="left"/>
              <w:rPr/>
            </w:pPr>
            <w:r>
              <w:rPr/>
              <w:t> </w:t>
            </w:r>
            <w:bookmarkStart w:id="48" w:name="xdx_40C_eus-gaap--AccruedLiabilitiesCurr"/>
            <w:bookmarkEnd w:id="48"/>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2,538</w:t>
            </w:r>
          </w:p>
        </w:tc>
        <w:tc>
          <w:tcPr>
            <w:tcW w:w="112" w:type="dxa"/>
            <w:tcBorders/>
            <w:shd w:fill="FFFFFF" w:val="clear"/>
            <w:vAlign w:val="center"/>
          </w:tcPr>
          <w:p>
            <w:pPr>
              <w:pStyle w:val="TableContents"/>
              <w:bidi w:val="0"/>
              <w:spacing w:before="0" w:after="283"/>
              <w:jc w:val="left"/>
              <w:rPr/>
            </w:pPr>
            <w:r>
              <w:rPr/>
              <w:t> </w:t>
            </w:r>
            <w:bookmarkStart w:id="49" w:name="xdx_40F_eus-gaap--ContractWithCustomerLi"/>
            <w:bookmarkEnd w:id="49"/>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Unearned reservation fees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4,077</w:t>
            </w:r>
          </w:p>
        </w:tc>
        <w:tc>
          <w:tcPr>
            <w:tcW w:w="112" w:type="dxa"/>
            <w:tcBorders/>
            <w:shd w:fill="CCEEFF" w:val="clear"/>
            <w:vAlign w:val="center"/>
          </w:tcPr>
          <w:p>
            <w:pPr>
              <w:pStyle w:val="TableContents"/>
              <w:bidi w:val="0"/>
              <w:spacing w:before="0" w:after="283"/>
              <w:jc w:val="left"/>
              <w:rPr/>
            </w:pPr>
            <w:r>
              <w:rPr/>
              <w:t> </w:t>
            </w:r>
            <w:bookmarkStart w:id="50" w:name="xdx_40C_eus-gaap--OperatingLeaseLiabilit"/>
            <w:bookmarkEnd w:id="50"/>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w:t>
            </w:r>
          </w:p>
        </w:tc>
        <w:tc>
          <w:tcPr>
            <w:tcW w:w="112" w:type="dxa"/>
            <w:tcBorders/>
            <w:shd w:fill="FFFFFF" w:val="clear"/>
            <w:vAlign w:val="center"/>
          </w:tcPr>
          <w:p>
            <w:pPr>
              <w:pStyle w:val="TableContents"/>
              <w:bidi w:val="0"/>
              <w:spacing w:before="0" w:after="283"/>
              <w:jc w:val="left"/>
              <w:rPr/>
            </w:pPr>
            <w:r>
              <w:rPr/>
              <w:t> </w:t>
            </w:r>
            <w:bookmarkStart w:id="51" w:name="xdx_40F_eus-gaap--LiabilitiesCurrent_i02"/>
            <w:bookmarkEnd w:id="51"/>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9,471</w:t>
            </w:r>
          </w:p>
        </w:tc>
        <w:tc>
          <w:tcPr>
            <w:tcW w:w="112" w:type="dxa"/>
            <w:tcBorders/>
            <w:shd w:fill="CCEEFF" w:val="clear"/>
            <w:vAlign w:val="center"/>
          </w:tcPr>
          <w:p>
            <w:pPr>
              <w:pStyle w:val="TableContents"/>
              <w:bidi w:val="0"/>
              <w:spacing w:before="0" w:after="283"/>
              <w:jc w:val="left"/>
              <w:rPr/>
            </w:pPr>
            <w:r>
              <w:rPr/>
              <w:t> </w:t>
            </w:r>
            <w:bookmarkStart w:id="52" w:name="xdx_40F_eus-gaap--OperatingLeaseLiabilit"/>
            <w:bookmarkEnd w:id="52"/>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w:t>
            </w:r>
          </w:p>
        </w:tc>
        <w:tc>
          <w:tcPr>
            <w:tcW w:w="112" w:type="dxa"/>
            <w:tcBorders/>
            <w:shd w:fill="FFFFFF" w:val="clear"/>
            <w:vAlign w:val="center"/>
          </w:tcPr>
          <w:p>
            <w:pPr>
              <w:pStyle w:val="TableContents"/>
              <w:bidi w:val="0"/>
              <w:spacing w:before="0" w:after="283"/>
              <w:jc w:val="left"/>
              <w:rPr/>
            </w:pPr>
            <w:r>
              <w:rPr/>
              <w:t> </w:t>
            </w:r>
            <w:bookmarkStart w:id="53" w:name="xdx_403_eus-gaap--OtherLiabilitiesNoncur"/>
            <w:bookmarkEnd w:id="53"/>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12" w:type="dxa"/>
            <w:tcBorders/>
            <w:shd w:fill="CCEEFF" w:val="clear"/>
            <w:vAlign w:val="center"/>
          </w:tcPr>
          <w:p>
            <w:pPr>
              <w:pStyle w:val="TableContents"/>
              <w:bidi w:val="0"/>
              <w:spacing w:before="0" w:after="283"/>
              <w:jc w:val="left"/>
              <w:rPr/>
            </w:pPr>
            <w:r>
              <w:rPr/>
              <w:t> </w:t>
            </w:r>
            <w:bookmarkStart w:id="54" w:name="xdx_40F_eus-gaap--Liabilities_i01TI_mtLz"/>
            <w:bookmarkEnd w:id="54"/>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9,797</w:t>
            </w:r>
          </w:p>
        </w:tc>
        <w:tc>
          <w:tcPr>
            <w:tcW w:w="112"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5" w:name="xdx_406_eus-gaap--CommitmentsAndContinge"/>
            <w:bookmarkEnd w:id="55"/>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3)</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112" w:type="dxa"/>
            <w:tcBorders/>
            <w:shd w:fill="FFFFFF" w:val="clear"/>
            <w:vAlign w:val="center"/>
          </w:tcPr>
          <w:p>
            <w:pPr>
              <w:pStyle w:val="TableContents"/>
              <w:bidi w:val="0"/>
              <w:spacing w:before="0" w:after="283"/>
              <w:jc w:val="left"/>
              <w:rPr/>
            </w:pPr>
            <w:r>
              <w:rPr/>
              <w:t> </w:t>
            </w:r>
          </w:p>
        </w:tc>
      </w:tr>
      <w:tr>
        <w:trPr/>
        <w:tc>
          <w:tcPr>
            <w:tcW w:w="7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6" w:name="xdx_409_eus-gaap--StockholdersEquityAbst"/>
            <w:bookmarkEnd w:id="56"/>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7" w:name="xdx_406_eus-gaap--PreferredStockValue_i0"/>
            <w:bookmarkEnd w:id="57"/>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58" w:name="xdx_908_eus-gaap--PreferredStockParOrSta"/>
            <w:bookmarkStart w:id="59" w:name="xdx_905_eus-gaap--PreferredStockParOrSta"/>
            <w:bookmarkEnd w:id="58"/>
            <w:bookmarkEnd w:id="59"/>
            <w:r>
              <w:rPr>
                <w:rFonts w:ascii="Times New Roman;Times;Serif" w:hAnsi="Times New Roman;Times;Serif"/>
              </w:rPr>
              <w:t xml:space="preserve">0.0001 par value, </w:t>
            </w:r>
            <w:bookmarkStart w:id="60" w:name="xdx_907_eus-gaap--PreferredStockSharesAu"/>
            <w:bookmarkStart w:id="61" w:name="xdx_90A_eus-gaap--PreferredStockSharesAu"/>
            <w:bookmarkEnd w:id="60"/>
            <w:bookmarkEnd w:id="61"/>
            <w:r>
              <w:rPr>
                <w:rFonts w:ascii="Times New Roman;Times;Serif" w:hAnsi="Times New Roman;Times;Serif"/>
              </w:rPr>
              <w:t xml:space="preserve">20,000,000 authorized; </w:t>
            </w:r>
            <w:bookmarkStart w:id="62" w:name="xdx_90D_eus-gaap--PreferredStockSharesOu"/>
            <w:bookmarkStart w:id="63" w:name="xdx_905_eus-gaap--PreferredStockSharesIs"/>
            <w:bookmarkEnd w:id="62"/>
            <w:bookmarkEnd w:id="63"/>
            <w:r>
              <w:rPr>
                <w:rFonts w:ascii="Times New Roman;Times;Serif" w:hAnsi="Times New Roman;Times;Serif"/>
              </w:rPr>
              <w:t xml:space="preserve">0 and </w:t>
            </w:r>
            <w:bookmarkStart w:id="64" w:name="xdx_901_eus-gaap--PreferredStockSharesOu"/>
            <w:bookmarkStart w:id="65" w:name="xdx_900_eus-gaap--PreferredStockSharesIs"/>
            <w:bookmarkEnd w:id="64"/>
            <w:bookmarkEnd w:id="65"/>
            <w:r>
              <w:rPr>
                <w:rFonts w:ascii="Times New Roman;Times;Serif" w:hAnsi="Times New Roman;Times;Serif"/>
              </w:rPr>
              <w:t>0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66" w:name="xdx_401_eus-gaap--CommonStockValue_i02I_"/>
            <w:bookmarkEnd w:id="66"/>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Common Stock, $</w:t>
            </w:r>
            <w:bookmarkStart w:id="67" w:name="xdx_906_eus-gaap--CommonStockParOrStated"/>
            <w:bookmarkStart w:id="68" w:name="xdx_903_eus-gaap--CommonStockParOrStated"/>
            <w:bookmarkEnd w:id="67"/>
            <w:bookmarkEnd w:id="68"/>
            <w:r>
              <w:rPr>
                <w:rFonts w:ascii="Times New Roman;Times;Serif" w:hAnsi="Times New Roman;Times;Serif"/>
              </w:rPr>
              <w:t xml:space="preserve">0.0001 par value, </w:t>
            </w:r>
            <w:bookmarkStart w:id="69" w:name="xdx_900_eus-gaap--CommonStockSharesAutho"/>
            <w:bookmarkStart w:id="70" w:name="xdx_909_eus-gaap--CommonStockSharesAutho"/>
            <w:bookmarkEnd w:id="69"/>
            <w:bookmarkEnd w:id="70"/>
            <w:r>
              <w:rPr>
                <w:rFonts w:ascii="Times New Roman;Times;Serif" w:hAnsi="Times New Roman;Times;Serif"/>
              </w:rPr>
              <w:t xml:space="preserve">190,000,000 shares authorized, </w:t>
            </w:r>
            <w:bookmarkStart w:id="71" w:name="xdx_90D_eus-gaap--CommonStockSharesOutst"/>
            <w:bookmarkStart w:id="72" w:name="xdx_907_eus-gaap--CommonStockSharesIssue"/>
            <w:bookmarkEnd w:id="71"/>
            <w:bookmarkEnd w:id="72"/>
            <w:r>
              <w:rPr>
                <w:rFonts w:ascii="Times New Roman;Times;Serif" w:hAnsi="Times New Roman;Times;Serif"/>
              </w:rPr>
              <w:t xml:space="preserve">12,026,870 and </w:t>
            </w:r>
            <w:bookmarkStart w:id="73" w:name="xdx_90B_eus-gaap--CommonStockSharesOutst"/>
            <w:bookmarkStart w:id="74" w:name="xdx_90B_eus-gaap--CommonStockSharesIssue"/>
            <w:bookmarkEnd w:id="73"/>
            <w:bookmarkEnd w:id="74"/>
            <w:r>
              <w:rPr>
                <w:rFonts w:ascii="Times New Roman;Times;Serif" w:hAnsi="Times New Roman;Times;Serif"/>
              </w:rPr>
              <w:t>12,266,105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2" w:type="dxa"/>
            <w:tcBorders/>
            <w:shd w:fill="FFFFFF" w:val="clear"/>
            <w:vAlign w:val="center"/>
          </w:tcPr>
          <w:p>
            <w:pPr>
              <w:pStyle w:val="TableContents"/>
              <w:bidi w:val="0"/>
              <w:spacing w:before="0" w:after="283"/>
              <w:jc w:val="left"/>
              <w:rPr/>
            </w:pPr>
            <w:r>
              <w:rPr/>
              <w:t> </w:t>
            </w:r>
            <w:bookmarkStart w:id="75" w:name="xdx_403_eus-gaap--CommonStockValue_i02I_"/>
            <w:bookmarkEnd w:id="75"/>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B Common Stock, $</w:t>
            </w:r>
            <w:bookmarkStart w:id="76" w:name="xdx_908_eus-gaap--CommonStockParOrStated"/>
            <w:bookmarkStart w:id="77" w:name="xdx_902_eus-gaap--CommonStockParOrStated"/>
            <w:bookmarkEnd w:id="76"/>
            <w:bookmarkEnd w:id="77"/>
            <w:r>
              <w:rPr>
                <w:rFonts w:ascii="Times New Roman;Times;Serif" w:hAnsi="Times New Roman;Times;Serif"/>
              </w:rPr>
              <w:t xml:space="preserve">0.0001 par value, </w:t>
            </w:r>
            <w:bookmarkStart w:id="78" w:name="xdx_909_eus-gaap--CommonStockSharesAutho"/>
            <w:bookmarkStart w:id="79" w:name="xdx_90C_eus-gaap--CommonStockSharesAutho"/>
            <w:bookmarkEnd w:id="78"/>
            <w:bookmarkEnd w:id="79"/>
            <w:r>
              <w:rPr>
                <w:rFonts w:ascii="Times New Roman;Times;Serif" w:hAnsi="Times New Roman;Times;Serif"/>
              </w:rPr>
              <w:t xml:space="preserve">115,000,000 shares authorized, </w:t>
            </w:r>
            <w:bookmarkStart w:id="80" w:name="xdx_901_eus-gaap--CommonStockSharesOutst"/>
            <w:bookmarkStart w:id="81" w:name="xdx_90F_eus-gaap--CommonStockSharesIssue"/>
            <w:bookmarkEnd w:id="80"/>
            <w:bookmarkEnd w:id="81"/>
            <w:r>
              <w:rPr>
                <w:rFonts w:ascii="Times New Roman;Times;Serif" w:hAnsi="Times New Roman;Times;Serif"/>
              </w:rPr>
              <w:t xml:space="preserve">24,573,741 and </w:t>
            </w:r>
            <w:bookmarkStart w:id="82" w:name="xdx_909_eus-gaap--CommonStockSharesOutst"/>
            <w:bookmarkStart w:id="83" w:name="xdx_900_eus-gaap--CommonStockSharesIssue"/>
            <w:bookmarkEnd w:id="82"/>
            <w:bookmarkEnd w:id="83"/>
            <w:r>
              <w:rPr>
                <w:rFonts w:ascii="Times New Roman;Times;Serif" w:hAnsi="Times New Roman;Times;Serif"/>
              </w:rPr>
              <w:t>15,718,440 shares issued and outstanding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2" w:type="dxa"/>
            <w:tcBorders/>
            <w:shd w:fill="CCEEFF" w:val="clear"/>
            <w:vAlign w:val="center"/>
          </w:tcPr>
          <w:p>
            <w:pPr>
              <w:pStyle w:val="TableContents"/>
              <w:bidi w:val="0"/>
              <w:spacing w:before="0" w:after="283"/>
              <w:jc w:val="left"/>
              <w:rPr/>
            </w:pPr>
            <w:r>
              <w:rPr/>
              <w:t> </w:t>
            </w:r>
            <w:bookmarkStart w:id="84" w:name="xdx_400_eus-gaap--CommonStockValue_i02I_"/>
            <w:bookmarkEnd w:id="84"/>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2" w:type="dxa"/>
            <w:tcBorders/>
            <w:shd w:fill="FFFFFF" w:val="clear"/>
            <w:vAlign w:val="center"/>
          </w:tcPr>
          <w:p>
            <w:pPr>
              <w:pStyle w:val="TableContents"/>
              <w:bidi w:val="0"/>
              <w:spacing w:before="0" w:after="283"/>
              <w:jc w:val="left"/>
              <w:rPr/>
            </w:pPr>
            <w:r>
              <w:rPr/>
              <w:t> </w:t>
            </w:r>
            <w:bookmarkStart w:id="85" w:name="xdx_402_eus-gaap--AdditionalPaidInCapita"/>
            <w:bookmarkEnd w:id="85"/>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sz w:val="20"/>
              </w:rPr>
              <w:t>Additional paid-in capital</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341,887</w:t>
            </w:r>
          </w:p>
        </w:tc>
        <w:tc>
          <w:tcPr>
            <w:tcW w:w="112" w:type="dxa"/>
            <w:tcBorders/>
            <w:shd w:fill="FFFFFF" w:val="clear"/>
            <w:vAlign w:val="center"/>
          </w:tcPr>
          <w:p>
            <w:pPr>
              <w:pStyle w:val="TableContents"/>
              <w:bidi w:val="0"/>
              <w:spacing w:before="0" w:after="283"/>
              <w:jc w:val="left"/>
              <w:rPr/>
            </w:pPr>
            <w:r>
              <w:rPr/>
              <w:t> </w:t>
            </w:r>
            <w:bookmarkStart w:id="86" w:name="xdx_401_eus-gaap--CommonStockShareSubscr"/>
            <w:bookmarkEnd w:id="86"/>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Subscription receivables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7" w:name="xdx_40D_eus-gaap--RetainedEarningsAccumu"/>
            <w:bookmarkEnd w:id="87"/>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(321,319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 w:name="xdx_408_eus-gaap--StockholdersEquity_i02"/>
            <w:bookmarkEnd w:id="88"/>
          </w:p>
        </w:tc>
      </w:tr>
      <w:tr>
        <w:trPr/>
        <w:tc>
          <w:tcPr>
            <w:tcW w:w="72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20,440</w:t>
            </w:r>
          </w:p>
        </w:tc>
        <w:tc>
          <w:tcPr>
            <w:tcW w:w="112" w:type="dxa"/>
            <w:tcBorders/>
            <w:shd w:fill="CCEEFF" w:val="clear"/>
            <w:vAlign w:val="center"/>
          </w:tcPr>
          <w:p>
            <w:pPr>
              <w:pStyle w:val="TableContents"/>
              <w:bidi w:val="0"/>
              <w:spacing w:before="0" w:after="283"/>
              <w:jc w:val="left"/>
              <w:rPr/>
            </w:pPr>
            <w:r>
              <w:rPr/>
              <w:t> </w:t>
            </w:r>
            <w:bookmarkStart w:id="89" w:name="xdx_40D_eus-gaap--LiabilitiesAndStockhol"/>
            <w:bookmarkEnd w:id="89"/>
          </w:p>
        </w:tc>
      </w:tr>
      <w:tr>
        <w:trPr/>
        <w:tc>
          <w:tcPr>
            <w:tcW w:w="72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30,237</w:t>
            </w:r>
          </w:p>
        </w:tc>
        <w:tc>
          <w:tcPr>
            <w:tcW w:w="112"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90" w:name="a_004"/>
      <w:bookmarkEnd w:id="90"/>
      <w:r>
        <w:rPr>
          <w:rFonts w:ascii="Times New Roman;Times;Serif" w:hAnsi="Times New Roman;Times;Serif"/>
          <w:b/>
          <w:i w:val="false"/>
          <w:caps w:val="false"/>
          <w:smallCaps w:val="false"/>
          <w:sz w:val="20"/>
        </w:rPr>
        <w:t>CONDENSED CONSOLIDATED STATEMENTS OF OPERATIONS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 w:name="xdx_305_113_pn3n3_zxhQEc7aMTq8"/>
      <w:bookmarkStart w:id="92" w:name="xdx_305_113_pn3n3_zxhQEc7aMTq8"/>
      <w:bookmarkEnd w:id="92"/>
    </w:p>
    <w:tbl>
      <w:tblPr>
        <w:tblW w:w="10205" w:type="dxa"/>
        <w:jc w:val="left"/>
        <w:tblInd w:w="0" w:type="dxa"/>
        <w:tblLayout w:type="fixed"/>
        <w:tblCellMar>
          <w:top w:w="0" w:type="dxa"/>
          <w:left w:w="0" w:type="dxa"/>
          <w:bottom w:w="0" w:type="dxa"/>
          <w:right w:w="0" w:type="dxa"/>
        </w:tblCellMar>
      </w:tblPr>
      <w:tblGrid>
        <w:gridCol w:w="6831"/>
        <w:gridCol w:w="60"/>
        <w:gridCol w:w="171"/>
        <w:gridCol w:w="1352"/>
        <w:gridCol w:w="95"/>
        <w:gridCol w:w="60"/>
        <w:gridCol w:w="171"/>
        <w:gridCol w:w="1352"/>
        <w:gridCol w:w="113"/>
      </w:tblGrid>
      <w:tr>
        <w:trPr/>
        <w:tc>
          <w:tcPr>
            <w:tcW w:w="68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3" w:name="xdx_493_20260101__20260331_zsPrvqJyvkl2"/>
            <w:bookmarkEnd w:id="93"/>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1_20250101__20250331_za80KnMYWoif"/>
            <w:bookmarkEnd w:id="94"/>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3" w:type="dxa"/>
            <w:tcBorders/>
            <w:vAlign w:val="center"/>
          </w:tcPr>
          <w:p>
            <w:pPr>
              <w:pStyle w:val="TableContents"/>
              <w:bidi w:val="0"/>
              <w:spacing w:before="0" w:after="283"/>
              <w:jc w:val="left"/>
              <w:rPr/>
            </w:pPr>
            <w:r>
              <w:rPr/>
              <w:t> </w:t>
            </w:r>
          </w:p>
        </w:tc>
      </w:tr>
      <w:tr>
        <w:trPr/>
        <w:tc>
          <w:tcPr>
            <w:tcW w:w="68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13" w:type="dxa"/>
            <w:tcBorders/>
            <w:vAlign w:val="center"/>
          </w:tcPr>
          <w:p>
            <w:pPr>
              <w:pStyle w:val="TableContents"/>
              <w:bidi w:val="0"/>
              <w:spacing w:before="0" w:after="283"/>
              <w:jc w:val="left"/>
              <w:rPr/>
            </w:pPr>
            <w:r>
              <w:rPr/>
              <w:t> </w:t>
            </w:r>
          </w:p>
        </w:tc>
      </w:tr>
      <w:tr>
        <w:trPr/>
        <w:tc>
          <w:tcPr>
            <w:tcW w:w="68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3" w:type="dxa"/>
            <w:tcBorders/>
            <w:vAlign w:val="center"/>
          </w:tcPr>
          <w:p>
            <w:pPr>
              <w:pStyle w:val="TableContents"/>
              <w:bidi w:val="0"/>
              <w:spacing w:before="0" w:after="283"/>
              <w:jc w:val="left"/>
              <w:rPr/>
            </w:pPr>
            <w:r>
              <w:rPr/>
              <w:t> </w:t>
            </w:r>
            <w:bookmarkStart w:id="95" w:name="xdx_40C_eus-gaap--RevenueFromContractWit"/>
            <w:bookmarkEnd w:id="95"/>
          </w:p>
        </w:tc>
      </w:tr>
      <w:tr>
        <w:trPr/>
        <w:tc>
          <w:tcPr>
            <w:tcW w:w="68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6" w:name="xdx_409_eus-gaap--OperatingExpensesAbstr"/>
            <w:bookmarkEnd w:id="96"/>
          </w:p>
        </w:tc>
      </w:tr>
      <w:tr>
        <w:trPr/>
        <w:tc>
          <w:tcPr>
            <w:tcW w:w="68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7" w:name="xdx_408_eus-gaap--SellingGeneralAndAdmin"/>
            <w:bookmarkEnd w:id="97"/>
          </w:p>
        </w:tc>
      </w:tr>
      <w:tr>
        <w:trPr/>
        <w:tc>
          <w:tcPr>
            <w:tcW w:w="68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selling, and administrative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7,948</w:t>
            </w:r>
          </w:p>
        </w:tc>
        <w:tc>
          <w:tcPr>
            <w:tcW w:w="113" w:type="dxa"/>
            <w:tcBorders/>
            <w:shd w:fill="FFFFFF" w:val="clear"/>
            <w:vAlign w:val="center"/>
          </w:tcPr>
          <w:p>
            <w:pPr>
              <w:pStyle w:val="TableContents"/>
              <w:bidi w:val="0"/>
              <w:spacing w:before="0" w:after="283"/>
              <w:jc w:val="left"/>
              <w:rPr/>
            </w:pPr>
            <w:r>
              <w:rPr/>
              <w:t> </w:t>
            </w:r>
            <w:bookmarkStart w:id="98" w:name="xdx_405_eus-gaap--ResearchAndDevelopment"/>
            <w:bookmarkEnd w:id="98"/>
          </w:p>
        </w:tc>
      </w:tr>
      <w:tr>
        <w:trPr/>
        <w:tc>
          <w:tcPr>
            <w:tcW w:w="68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3,214</w:t>
            </w:r>
          </w:p>
        </w:tc>
        <w:tc>
          <w:tcPr>
            <w:tcW w:w="113" w:type="dxa"/>
            <w:tcBorders/>
            <w:shd w:fill="CCEEFF" w:val="clear"/>
            <w:vAlign w:val="center"/>
          </w:tcPr>
          <w:p>
            <w:pPr>
              <w:pStyle w:val="TableContents"/>
              <w:bidi w:val="0"/>
              <w:spacing w:before="0" w:after="283"/>
              <w:jc w:val="left"/>
              <w:rPr/>
            </w:pPr>
            <w:r>
              <w:rPr/>
              <w:t> </w:t>
            </w:r>
            <w:bookmarkStart w:id="99" w:name="xdx_403_eus-gaap--OperatingExpenses_i01T"/>
            <w:bookmarkEnd w:id="99"/>
          </w:p>
        </w:tc>
      </w:tr>
      <w:tr>
        <w:trPr/>
        <w:tc>
          <w:tcPr>
            <w:tcW w:w="68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11,162</w:t>
            </w:r>
          </w:p>
        </w:tc>
        <w:tc>
          <w:tcPr>
            <w:tcW w:w="113" w:type="dxa"/>
            <w:tcBorders/>
            <w:shd w:fill="FFFFFF" w:val="clear"/>
            <w:vAlign w:val="center"/>
          </w:tcPr>
          <w:p>
            <w:pPr>
              <w:pStyle w:val="TableContents"/>
              <w:bidi w:val="0"/>
              <w:spacing w:before="0" w:after="283"/>
              <w:jc w:val="left"/>
              <w:rPr/>
            </w:pPr>
            <w:r>
              <w:rPr/>
              <w:t> </w:t>
            </w:r>
          </w:p>
        </w:tc>
      </w:tr>
      <w:tr>
        <w:trPr/>
        <w:tc>
          <w:tcPr>
            <w:tcW w:w="68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0" w:name="xdx_409_eus-gaap--OperatingIncomeLoss_iT"/>
            <w:bookmarkEnd w:id="100"/>
          </w:p>
        </w:tc>
      </w:tr>
      <w:tr>
        <w:trPr/>
        <w:tc>
          <w:tcPr>
            <w:tcW w:w="68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(11,162</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1" w:name="xdx_40E_eus-gaap--OtherNonoperatingIncom"/>
            <w:bookmarkEnd w:id="101"/>
          </w:p>
        </w:tc>
      </w:tr>
      <w:tr>
        <w:trPr/>
        <w:tc>
          <w:tcPr>
            <w:tcW w:w="68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w:t>
            </w:r>
          </w:p>
        </w:tc>
        <w:tc>
          <w:tcPr>
            <w:tcW w:w="113" w:type="dxa"/>
            <w:tcBorders/>
            <w:shd w:fill="CCEEFF" w:val="clear"/>
            <w:vAlign w:val="center"/>
          </w:tcPr>
          <w:p>
            <w:pPr>
              <w:pStyle w:val="TableContents"/>
              <w:bidi w:val="0"/>
              <w:spacing w:before="0" w:after="283"/>
              <w:jc w:val="left"/>
              <w:rPr/>
            </w:pPr>
            <w:r>
              <w:rPr/>
              <w:t> </w:t>
            </w:r>
            <w:bookmarkStart w:id="102" w:name="xdx_400_eus-gaap--NetIncomeLoss_iT_mtNIL"/>
            <w:bookmarkEnd w:id="102"/>
          </w:p>
        </w:tc>
      </w:tr>
      <w:tr>
        <w:trPr/>
        <w:tc>
          <w:tcPr>
            <w:tcW w:w="68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(10,867</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5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8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loss per share of Class A and Class B common stock basic and diluted</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3" w:name="xdx_903_eus-gaap--EarningsPerShareDilute"/>
            <w:bookmarkStart w:id="104" w:name="xdx_903_eus-gaap--EarningsPerShareBasic_"/>
            <w:bookmarkEnd w:id="103"/>
            <w:bookmarkEnd w:id="104"/>
            <w:r>
              <w:rPr>
                <w:rFonts w:ascii="Times New Roman;Times;Serif" w:hAnsi="Times New Roman;Times;Serif"/>
              </w:rPr>
              <w:t>(0.32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05" w:name="xdx_901_eus-gaap--EarningsPerShareDilute"/>
            <w:bookmarkStart w:id="106" w:name="xdx_90C_eus-gaap--EarningsPerShareBasic_"/>
            <w:bookmarkEnd w:id="105"/>
            <w:bookmarkEnd w:id="106"/>
            <w:r>
              <w:rPr>
                <w:rFonts w:ascii="Times New Roman;Times;Serif" w:hAnsi="Times New Roman;Times;Serif"/>
              </w:rPr>
              <w:t>(0.46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8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 of Class A and B common stock - basic and diluted</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7" w:name="xdx_906_eus-gaap--WeightedAverageNumberO"/>
            <w:bookmarkStart w:id="108" w:name="xdx_907_eus-gaap--WeightedAverageNumberO"/>
            <w:bookmarkEnd w:id="107"/>
            <w:bookmarkEnd w:id="108"/>
            <w:r>
              <w:rPr>
                <w:rFonts w:ascii="Times New Roman;Times;Serif" w:hAnsi="Times New Roman;Times;Serif"/>
              </w:rPr>
              <w:t>32,145,836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09" w:name="xdx_907_eus-gaap--WeightedAverageNumberO"/>
            <w:bookmarkStart w:id="110" w:name="xdx_905_eus-gaap--WeightedAverageNumberO"/>
            <w:bookmarkEnd w:id="109"/>
            <w:bookmarkEnd w:id="110"/>
            <w:r>
              <w:rPr>
                <w:rFonts w:ascii="Times New Roman;Times;Serif" w:hAnsi="Times New Roman;Times;Serif"/>
              </w:rPr>
              <w:t>23,377,204</w:t>
            </w:r>
          </w:p>
        </w:tc>
        <w:tc>
          <w:tcPr>
            <w:tcW w:w="113"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11" w:name="a_005"/>
      <w:bookmarkEnd w:id="111"/>
      <w:r>
        <w:rPr>
          <w:rFonts w:ascii="Times New Roman;Times;Serif" w:hAnsi="Times New Roman;Times;Serif"/>
          <w:b/>
          <w:i w:val="false"/>
          <w:caps w:val="false"/>
          <w:smallCaps w:val="false"/>
          <w:sz w:val="20"/>
        </w:rPr>
        <w:t>CONDENSED CONSOLIDATED STATEMENTS OF STOCKHOLDERS’ EQUITY</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2" w:name="xdx_301_114_pn3n3_zmGQDbecgaS7"/>
      <w:bookmarkStart w:id="113" w:name="xdx_301_114_pn3n3_zmGQDbecgaS7"/>
      <w:bookmarkEnd w:id="113"/>
    </w:p>
    <w:tbl>
      <w:tblPr>
        <w:tblW w:w="1312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02"/>
        <w:gridCol w:w="658"/>
        <w:gridCol w:w="60"/>
        <w:gridCol w:w="60"/>
        <w:gridCol w:w="60"/>
        <w:gridCol w:w="1100"/>
        <w:gridCol w:w="95"/>
        <w:gridCol w:w="60"/>
        <w:gridCol w:w="168"/>
        <w:gridCol w:w="692"/>
        <w:gridCol w:w="60"/>
        <w:gridCol w:w="60"/>
        <w:gridCol w:w="60"/>
        <w:gridCol w:w="1100"/>
        <w:gridCol w:w="60"/>
        <w:gridCol w:w="60"/>
        <w:gridCol w:w="202"/>
        <w:gridCol w:w="658"/>
        <w:gridCol w:w="60"/>
        <w:gridCol w:w="60"/>
        <w:gridCol w:w="140"/>
        <w:gridCol w:w="800"/>
        <w:gridCol w:w="95"/>
        <w:gridCol w:w="60"/>
        <w:gridCol w:w="286"/>
        <w:gridCol w:w="934"/>
        <w:gridCol w:w="140"/>
        <w:gridCol w:w="60"/>
        <w:gridCol w:w="155"/>
        <w:gridCol w:w="975"/>
        <w:gridCol w:w="95"/>
        <w:gridCol w:w="60"/>
        <w:gridCol w:w="174"/>
        <w:gridCol w:w="941"/>
        <w:gridCol w:w="110"/>
      </w:tblGrid>
      <w:tr>
        <w:trPr/>
        <w:tc>
          <w:tcPr>
            <w:tcW w:w="1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4" w:name="xdx_4B3_us-gaap--StatementEquityComponen"/>
            <w:bookmarkEnd w:id="114"/>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5" w:name="xdx_4B2_us-gaap--StatementEquityComponen"/>
            <w:bookmarkEnd w:id="11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6" w:name="xdx_4B5_us-gaap--StatementEquityComponen"/>
            <w:bookmarkEnd w:id="11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 w:name="xdx_4B3_us-gaap--StatementEquityComponen"/>
            <w:bookmarkEnd w:id="11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 w:name="xdx_4B3_us-gaap--StatementEquityComponen"/>
            <w:bookmarkEnd w:id="118"/>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Receivable)</w:t>
            </w:r>
          </w:p>
        </w:tc>
        <w:tc>
          <w:tcPr>
            <w:tcW w:w="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9" w:name="xdx_4B4_us-gaap--StatementEquityComponen"/>
            <w:bookmarkEnd w:id="119"/>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0" w:name="xdx_4B9_zJYLpl5HT8f7"/>
            <w:bookmarkEnd w:id="120"/>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35" w:type="dxa"/>
            <w:gridSpan w:val="7"/>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00" w:type="dxa"/>
            <w:gridSpan w:val="7"/>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20"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Issued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(Subscriptions</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Receivable)</w:t>
            </w:r>
          </w:p>
        </w:tc>
        <w:tc>
          <w:tcPr>
            <w:tcW w:w="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center"/>
              <w:rPr/>
            </w:pPr>
            <w:r>
              <w:rPr/>
              <w:t> </w:t>
            </w:r>
            <w:bookmarkStart w:id="121" w:name="xdx_432_c20250101__20250331_eus-gaap--St"/>
            <w:bookmarkEnd w:id="12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2" w:name="xdx_98F_eus-gaap--SharesOutstanding_iS_p"/>
            <w:bookmarkEnd w:id="12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3" w:name="xdx_980_eus-gaap--SharesOutstanding_iS_p"/>
            <w:bookmarkEnd w:id="12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18,486,999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4" w:name="xdx_98D_eus-gaap--SharesOutstanding_iS_p"/>
            <w:bookmarkEnd w:id="12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4,877,990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(277,412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26,894</w:t>
            </w:r>
          </w:p>
        </w:tc>
        <w:tc>
          <w:tcPr>
            <w:tcW w:w="110" w:type="dxa"/>
            <w:tcBorders/>
            <w:shd w:fill="CCEEFF" w:val="clear"/>
            <w:vAlign w:val="center"/>
          </w:tcPr>
          <w:p>
            <w:pPr>
              <w:pStyle w:val="TableContents"/>
              <w:bidi w:val="0"/>
              <w:spacing w:before="0" w:after="283"/>
              <w:jc w:val="left"/>
              <w:rPr/>
            </w:pPr>
            <w:r>
              <w:rPr/>
              <w:t> </w:t>
            </w:r>
            <w:bookmarkStart w:id="125" w:name="xdx_404_eus-gaap--StockIssuedDuringPerio"/>
            <w:bookmarkEnd w:id="125"/>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6" w:name="xdx_98B_eus-gaap--StockIssuedDuringPerio"/>
            <w:bookmarkEnd w:id="126"/>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110" w:type="dxa"/>
            <w:tcBorders/>
            <w:shd w:fill="FFFFFF" w:val="clear"/>
            <w:vAlign w:val="center"/>
          </w:tcPr>
          <w:p>
            <w:pPr>
              <w:pStyle w:val="TableContents"/>
              <w:bidi w:val="0"/>
              <w:spacing w:before="0" w:after="283"/>
              <w:jc w:val="left"/>
              <w:rPr/>
            </w:pPr>
            <w:r>
              <w:rPr/>
              <w:t> </w:t>
            </w:r>
            <w:bookmarkStart w:id="127" w:name="xdx_409_eus-gaap--AdjustmentsToAdditiona"/>
            <w:bookmarkEnd w:id="12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8" w:name="xdx_406_eus-gaap--StockIssuedDuringPerio"/>
            <w:bookmarkEnd w:id="12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4,921</w:t>
            </w:r>
          </w:p>
        </w:tc>
        <w:tc>
          <w:tcPr>
            <w:tcW w:w="110" w:type="dxa"/>
            <w:tcBorders/>
            <w:shd w:fill="FFFFFF" w:val="clear"/>
            <w:vAlign w:val="center"/>
          </w:tcPr>
          <w:p>
            <w:pPr>
              <w:pStyle w:val="TableContents"/>
              <w:bidi w:val="0"/>
              <w:spacing w:before="0" w:after="283"/>
              <w:jc w:val="left"/>
              <w:rPr/>
            </w:pPr>
            <w:r>
              <w:rPr/>
              <w:t> </w:t>
            </w:r>
            <w:bookmarkStart w:id="129" w:name="xdx_407_eus-gaap--AdjustmentsToAdditiona"/>
            <w:bookmarkEnd w:id="12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1,154</w:t>
            </w:r>
          </w:p>
        </w:tc>
        <w:tc>
          <w:tcPr>
            <w:tcW w:w="110" w:type="dxa"/>
            <w:tcBorders/>
            <w:shd w:fill="CCEEFF" w:val="clear"/>
            <w:vAlign w:val="center"/>
          </w:tcPr>
          <w:p>
            <w:pPr>
              <w:pStyle w:val="TableContents"/>
              <w:bidi w:val="0"/>
              <w:spacing w:before="0" w:after="283"/>
              <w:jc w:val="left"/>
              <w:rPr/>
            </w:pPr>
            <w:r>
              <w:rPr/>
              <w:t> </w:t>
            </w:r>
            <w:bookmarkStart w:id="130" w:name="xdx_408_eus-gaap--NetIncomeLoss_zZRsjMz0"/>
            <w:bookmarkEnd w:id="13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1" w:name="xdx_435_c20250101__20250331_eus-gaap--St"/>
            <w:bookmarkEnd w:id="13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2" w:name="xdx_989_eus-gaap--SharesOutstanding_iE_p"/>
            <w:bookmarkEnd w:id="13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3,721,394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3" w:name="xdx_985_eus-gaap--SharesOutstanding_iE_p"/>
            <w:bookmarkEnd w:id="13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18,486,999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4" w:name="xdx_988_eus-gaap--SharesOutstanding_iE_p"/>
            <w:bookmarkEnd w:id="13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4,908,980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(288,279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23,252</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 w:name="xdx_43E_c20260101__20260331_eus-gaap--St"/>
            <w:bookmarkEnd w:id="13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6" w:name="xdx_983_eus-gaap--SharesOutstanding_iS_p"/>
            <w:bookmarkEnd w:id="13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7" w:name="xdx_98A_eus-gaap--SharesOutstanding_iS_p"/>
            <w:bookmarkEnd w:id="137"/>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12,266,105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8" w:name="xdx_988_eus-gaap--SharesOutstanding_iS_p"/>
            <w:bookmarkEnd w:id="13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15,718,440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(321,319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20,440</w:t>
            </w:r>
          </w:p>
        </w:tc>
        <w:tc>
          <w:tcPr>
            <w:tcW w:w="110" w:type="dxa"/>
            <w:tcBorders/>
            <w:shd w:fill="CCEEFF" w:val="clear"/>
            <w:vAlign w:val="center"/>
          </w:tcPr>
          <w:p>
            <w:pPr>
              <w:pStyle w:val="TableContents"/>
              <w:bidi w:val="0"/>
              <w:spacing w:before="0" w:after="283"/>
              <w:jc w:val="left"/>
              <w:rPr/>
            </w:pPr>
            <w:r>
              <w:rPr/>
              <w:t> </w:t>
            </w:r>
            <w:bookmarkStart w:id="139" w:name="xdx_406_eus-gaap--StockIssuedDuringPerio"/>
            <w:bookmarkEnd w:id="139"/>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common stock and warrants,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0" w:name="xdx_988_eus-gaap--StockIssuedDuringPerio"/>
            <w:bookmarkEnd w:id="140"/>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8,318</w:t>
            </w:r>
          </w:p>
        </w:tc>
        <w:tc>
          <w:tcPr>
            <w:tcW w:w="110" w:type="dxa"/>
            <w:tcBorders/>
            <w:shd w:fill="FFFFFF" w:val="clear"/>
            <w:vAlign w:val="center"/>
          </w:tcPr>
          <w:p>
            <w:pPr>
              <w:pStyle w:val="TableContents"/>
              <w:bidi w:val="0"/>
              <w:spacing w:before="0" w:after="283"/>
              <w:jc w:val="left"/>
              <w:rPr/>
            </w:pPr>
            <w:r>
              <w:rPr/>
              <w:t> </w:t>
            </w:r>
            <w:bookmarkStart w:id="141" w:name="xdx_405_eus-gaap--StockIssuedDuringPerio"/>
            <w:bookmarkEnd w:id="14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pPr>
            <w:r>
              <w:rPr/>
              <w:t>        </w:t>
            </w: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7_eus-gaap--StockIssuedDuringPerio"/>
            <w:bookmarkEnd w:id="14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4,064,580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7,724</w:t>
            </w:r>
          </w:p>
        </w:tc>
        <w:tc>
          <w:tcPr>
            <w:tcW w:w="110" w:type="dxa"/>
            <w:tcBorders/>
            <w:shd w:fill="CCEEFF" w:val="clear"/>
            <w:vAlign w:val="center"/>
          </w:tcPr>
          <w:p>
            <w:pPr>
              <w:pStyle w:val="TableContents"/>
              <w:bidi w:val="0"/>
              <w:spacing w:before="0" w:after="283"/>
              <w:jc w:val="left"/>
              <w:rPr/>
            </w:pPr>
            <w:r>
              <w:rPr/>
              <w:t> </w:t>
            </w:r>
            <w:bookmarkStart w:id="143" w:name="xdx_40C_eus-gaap--StockIssuedDuringPerio"/>
            <w:bookmarkEnd w:id="143"/>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conversions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C_eus-gaap--StockIssuedDuringPerio"/>
            <w:bookmarkEnd w:id="144"/>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(239,235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98D_eus-gaap--StockIssuedDuringPerio"/>
            <w:bookmarkEnd w:id="14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46" w:name="xdx_40B_ecustom--StockIssuedDuringPeriod"/>
            <w:bookmarkEnd w:id="14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6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A_ecustom--StockIssuedDuringPeriod"/>
            <w:bookmarkEnd w:id="14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48" w:name="xdx_407_eus-gaap--AdjustmentsToAdditiona"/>
            <w:bookmarkEnd w:id="14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6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3,356</w:t>
            </w:r>
          </w:p>
        </w:tc>
        <w:tc>
          <w:tcPr>
            <w:tcW w:w="110" w:type="dxa"/>
            <w:tcBorders/>
            <w:shd w:fill="FFFFFF" w:val="clear"/>
            <w:vAlign w:val="center"/>
          </w:tcPr>
          <w:p>
            <w:pPr>
              <w:pStyle w:val="TableContents"/>
              <w:bidi w:val="0"/>
              <w:spacing w:before="0" w:after="283"/>
              <w:jc w:val="left"/>
              <w:rPr/>
            </w:pPr>
            <w:r>
              <w:rPr/>
              <w:t> </w:t>
            </w:r>
            <w:bookmarkStart w:id="149" w:name="xdx_408_eus-gaap--NetIncomeLoss_znEbByUY"/>
            <w:bookmarkEnd w:id="14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0" w:name="xdx_43E_c20260101__20260331_eus-gaap--St"/>
            <w:bookmarkEnd w:id="15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 w:name="xdx_98D_eus-gaap--SharesOutstanding_iE_p"/>
            <w:bookmarkEnd w:id="151"/>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D_eus-gaap--SharesOutstanding_iE_p"/>
            <w:bookmarkEnd w:id="15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12,026,870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3" w:name="xdx_98C_eus-gaap--SharesOutstanding_iE_p"/>
            <w:bookmarkEnd w:id="15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24,573,741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(331,513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29,644</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54" w:name="a_006"/>
      <w:bookmarkEnd w:id="154"/>
      <w:r>
        <w:rPr>
          <w:rFonts w:ascii="Times New Roman;Times;Serif" w:hAnsi="Times New Roman;Times;Serif"/>
          <w:b/>
          <w:i w:val="false"/>
          <w:caps w:val="false"/>
          <w:smallCaps w:val="false"/>
          <w:sz w:val="20"/>
        </w:rPr>
        <w:t>CONDENSED CONSOLIDATED STATEMENTS OF CASH FLOWS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pBdr/>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5" w:name="xdx_301_112_pn3n3_zc2cKSAas1B5"/>
      <w:bookmarkStart w:id="156" w:name="xdx_301_112_pn3n3_zc2cKSAas1B5"/>
      <w:bookmarkEnd w:id="156"/>
    </w:p>
    <w:tbl>
      <w:tblPr>
        <w:tblW w:w="10205" w:type="dxa"/>
        <w:jc w:val="left"/>
        <w:tblInd w:w="0" w:type="dxa"/>
        <w:tblLayout w:type="fixed"/>
        <w:tblCellMar>
          <w:top w:w="0" w:type="dxa"/>
          <w:left w:w="0" w:type="dxa"/>
          <w:bottom w:w="0" w:type="dxa"/>
          <w:right w:w="0" w:type="dxa"/>
        </w:tblCellMar>
      </w:tblPr>
      <w:tblGrid>
        <w:gridCol w:w="6784"/>
        <w:gridCol w:w="60"/>
        <w:gridCol w:w="241"/>
        <w:gridCol w:w="1306"/>
        <w:gridCol w:w="95"/>
        <w:gridCol w:w="60"/>
        <w:gridCol w:w="241"/>
        <w:gridCol w:w="1306"/>
        <w:gridCol w:w="112"/>
      </w:tblGrid>
      <w:tr>
        <w:trPr/>
        <w:tc>
          <w:tcPr>
            <w:tcW w:w="6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7" w:name="xdx_49D_20260101__20260331_zVsS947QGXG2"/>
            <w:bookmarkEnd w:id="157"/>
          </w:p>
        </w:tc>
        <w:tc>
          <w:tcPr>
            <w:tcW w:w="1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8" w:name="xdx_491_20250101__20250331_zUAUs6jQRJJ7"/>
            <w:bookmarkEnd w:id="158"/>
          </w:p>
        </w:tc>
        <w:tc>
          <w:tcPr>
            <w:tcW w:w="1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2" w:type="dxa"/>
            <w:tcBorders/>
            <w:vAlign w:val="center"/>
          </w:tcPr>
          <w:p>
            <w:pPr>
              <w:pStyle w:val="TableContents"/>
              <w:bidi w:val="0"/>
              <w:spacing w:before="0" w:after="283"/>
              <w:jc w:val="left"/>
              <w:rPr/>
            </w:pPr>
            <w:r>
              <w:rPr/>
              <w:t> </w:t>
            </w:r>
          </w:p>
        </w:tc>
      </w:tr>
      <w:tr>
        <w:trPr/>
        <w:tc>
          <w:tcPr>
            <w:tcW w:w="6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12" w:type="dxa"/>
            <w:tcBorders/>
            <w:vAlign w:val="center"/>
          </w:tcPr>
          <w:p>
            <w:pPr>
              <w:pStyle w:val="TableContents"/>
              <w:bidi w:val="0"/>
              <w:spacing w:before="0" w:after="283"/>
              <w:jc w:val="left"/>
              <w:rPr/>
            </w:pPr>
            <w:r>
              <w:rPr/>
              <w:t> </w:t>
            </w:r>
          </w:p>
        </w:tc>
      </w:tr>
      <w:tr>
        <w:trPr/>
        <w:tc>
          <w:tcPr>
            <w:tcW w:w="67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112" w:type="dxa"/>
            <w:tcBorders/>
            <w:vAlign w:val="center"/>
          </w:tcPr>
          <w:p>
            <w:pPr>
              <w:pStyle w:val="TableContents"/>
              <w:bidi w:val="0"/>
              <w:spacing w:before="0" w:after="283"/>
              <w:jc w:val="left"/>
              <w:rPr/>
            </w:pPr>
            <w:r>
              <w:rPr/>
              <w:t> </w:t>
            </w:r>
            <w:bookmarkStart w:id="159" w:name="xdx_40A_eus-gaap--NetCashProvidedByUsedI"/>
            <w:bookmarkEnd w:id="159"/>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0" w:name="xdx_406_eus-gaap--NetIncomeLoss_i01_maNC"/>
            <w:bookmarkEnd w:id="160"/>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(10,867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1" w:name="xdx_40A_eus-gaap--AdjustmentsToReconcile"/>
            <w:bookmarkEnd w:id="161"/>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62" w:name="xdx_401_eus-gaap--DepreciationAndAmortiz"/>
            <w:bookmarkEnd w:id="162"/>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112" w:type="dxa"/>
            <w:tcBorders/>
            <w:shd w:fill="FFFFFF" w:val="clear"/>
            <w:vAlign w:val="center"/>
          </w:tcPr>
          <w:p>
            <w:pPr>
              <w:pStyle w:val="TableContents"/>
              <w:bidi w:val="0"/>
              <w:spacing w:before="0" w:after="283"/>
              <w:jc w:val="left"/>
              <w:rPr/>
            </w:pPr>
            <w:r>
              <w:rPr/>
              <w:t> </w:t>
            </w:r>
            <w:bookmarkStart w:id="163" w:name="xdx_40D_eus-gaap--AllocatedShareBasedCom"/>
            <w:bookmarkEnd w:id="163"/>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6,075</w:t>
            </w:r>
          </w:p>
        </w:tc>
        <w:tc>
          <w:tcPr>
            <w:tcW w:w="112" w:type="dxa"/>
            <w:tcBorders/>
            <w:shd w:fill="CCEEFF" w:val="clear"/>
            <w:vAlign w:val="center"/>
          </w:tcPr>
          <w:p>
            <w:pPr>
              <w:pStyle w:val="TableContents"/>
              <w:bidi w:val="0"/>
              <w:spacing w:before="0" w:after="283"/>
              <w:jc w:val="left"/>
              <w:rPr/>
            </w:pPr>
            <w:r>
              <w:rPr/>
              <w:t> </w:t>
            </w:r>
            <w:bookmarkStart w:id="164" w:name="xdx_401_eus-gaap--IncreaseDecreaseInOper"/>
            <w:bookmarkEnd w:id="164"/>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65" w:name="xdx_408_eus-gaap--IncreaseDecreaseInPrep"/>
            <w:bookmarkEnd w:id="165"/>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Prepaids and other</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0E_ecustom--IncreaseDecreaseInDepos"/>
            <w:bookmarkEnd w:id="166"/>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Deposits and other long-term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FFFFFF" w:val="clear"/>
            <w:vAlign w:val="center"/>
          </w:tcPr>
          <w:p>
            <w:pPr>
              <w:pStyle w:val="TableContents"/>
              <w:bidi w:val="0"/>
              <w:spacing w:before="0" w:after="283"/>
              <w:jc w:val="left"/>
              <w:rPr/>
            </w:pPr>
            <w:r>
              <w:rPr/>
              <w:t> </w:t>
            </w:r>
            <w:bookmarkStart w:id="167" w:name="xdx_404_eus-gaap--IncreaseDecreaseInAcco"/>
            <w:bookmarkEnd w:id="167"/>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w:t>
            </w:r>
          </w:p>
        </w:tc>
        <w:tc>
          <w:tcPr>
            <w:tcW w:w="112" w:type="dxa"/>
            <w:tcBorders/>
            <w:shd w:fill="CCEEFF" w:val="clear"/>
            <w:vAlign w:val="center"/>
          </w:tcPr>
          <w:p>
            <w:pPr>
              <w:pStyle w:val="TableContents"/>
              <w:bidi w:val="0"/>
              <w:spacing w:before="0" w:after="283"/>
              <w:jc w:val="left"/>
              <w:rPr/>
            </w:pPr>
            <w:r>
              <w:rPr/>
              <w:t> </w:t>
            </w:r>
            <w:bookmarkStart w:id="168" w:name="xdx_401_eus-gaap--IncreaseDecreaseInAccr"/>
            <w:bookmarkEnd w:id="168"/>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liabilities and unearned reservation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112" w:type="dxa"/>
            <w:tcBorders/>
            <w:shd w:fill="FFFFFF" w:val="clear"/>
            <w:vAlign w:val="center"/>
          </w:tcPr>
          <w:p>
            <w:pPr>
              <w:pStyle w:val="TableContents"/>
              <w:bidi w:val="0"/>
              <w:spacing w:before="0" w:after="283"/>
              <w:jc w:val="left"/>
              <w:rPr/>
            </w:pPr>
            <w:r>
              <w:rPr/>
              <w:t> </w:t>
            </w:r>
            <w:bookmarkStart w:id="169" w:name="xdx_409_eus-gaap--IncreaseDecreaseInOper"/>
            <w:bookmarkEnd w:id="169"/>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assets and liability, net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 w:name="xdx_40B_eus-gaap--NetCashProvidedByUsedI"/>
            <w:bookmarkEnd w:id="170"/>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(3,559</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1" w:name="xdx_40F_eus-gaap--NetCashProvidedByUsedI"/>
            <w:bookmarkEnd w:id="171"/>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2" w:name="xdx_407_eus-gaap--PaymentsToAcquirePrope"/>
            <w:bookmarkEnd w:id="172"/>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3" w:name="xdx_40F_eus-gaap--NetCashProvidedByUsedI"/>
            <w:bookmarkEnd w:id="173"/>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4" w:name="xdx_407_eus-gaap--NetCashProvidedByUsedI"/>
            <w:bookmarkEnd w:id="174"/>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75" w:name="xdx_40B_eus-gaap--ProceedsFromIssuanceOf"/>
            <w:bookmarkEnd w:id="175"/>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sale of common stock, warrants and exercise of warrants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w:t>
            </w:r>
          </w:p>
        </w:tc>
        <w:tc>
          <w:tcPr>
            <w:tcW w:w="112" w:type="dxa"/>
            <w:tcBorders/>
            <w:shd w:fill="CCEEFF" w:val="clear"/>
            <w:vAlign w:val="center"/>
          </w:tcPr>
          <w:p>
            <w:pPr>
              <w:pStyle w:val="TableContents"/>
              <w:bidi w:val="0"/>
              <w:spacing w:before="0" w:after="283"/>
              <w:jc w:val="left"/>
              <w:rPr/>
            </w:pPr>
            <w:r>
              <w:rPr/>
              <w:t> </w:t>
            </w:r>
            <w:bookmarkStart w:id="176" w:name="xdx_40E_eus-gaap--NetCashProvidedByUsedI"/>
            <w:bookmarkEnd w:id="176"/>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1,155</w:t>
            </w:r>
          </w:p>
        </w:tc>
        <w:tc>
          <w:tcPr>
            <w:tcW w:w="112" w:type="dxa"/>
            <w:tcBorders/>
            <w:shd w:fill="FFFFFF" w:val="clear"/>
            <w:vAlign w:val="center"/>
          </w:tcPr>
          <w:p>
            <w:pPr>
              <w:pStyle w:val="TableContents"/>
              <w:bidi w:val="0"/>
              <w:spacing w:before="0" w:after="283"/>
              <w:jc w:val="left"/>
              <w:rPr/>
            </w:pPr>
            <w:r>
              <w:rPr/>
              <w:t> </w:t>
            </w:r>
          </w:p>
        </w:tc>
      </w:tr>
      <w:tr>
        <w:trPr/>
        <w:tc>
          <w:tcPr>
            <w:tcW w:w="67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7" w:name="xdx_40E_eus-gaap--CashCashEquivalentsRes"/>
            <w:bookmarkEnd w:id="177"/>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8" w:name="xdx_40A_eus-gaap--CashCashEquivalentsRes"/>
            <w:bookmarkEnd w:id="178"/>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13,160</w:t>
            </w:r>
          </w:p>
        </w:tc>
        <w:tc>
          <w:tcPr>
            <w:tcW w:w="112" w:type="dxa"/>
            <w:tcBorders/>
            <w:shd w:fill="CCEEFF" w:val="clear"/>
            <w:vAlign w:val="center"/>
          </w:tcPr>
          <w:p>
            <w:pPr>
              <w:pStyle w:val="TableContents"/>
              <w:bidi w:val="0"/>
              <w:spacing w:before="0" w:after="283"/>
              <w:jc w:val="left"/>
              <w:rPr/>
            </w:pPr>
            <w:r>
              <w:rPr/>
              <w:t> </w:t>
            </w:r>
            <w:bookmarkStart w:id="179" w:name="xdx_40A_eus-gaap--CashCashEquivalentsRes"/>
            <w:bookmarkEnd w:id="179"/>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10,746</w:t>
            </w:r>
          </w:p>
        </w:tc>
        <w:tc>
          <w:tcPr>
            <w:tcW w:w="112" w:type="dxa"/>
            <w:tcBorders/>
            <w:shd w:fill="FFFFFF" w:val="clear"/>
            <w:vAlign w:val="center"/>
          </w:tcPr>
          <w:p>
            <w:pPr>
              <w:pStyle w:val="TableContents"/>
              <w:bidi w:val="0"/>
              <w:spacing w:before="0" w:after="283"/>
              <w:jc w:val="left"/>
              <w:rPr/>
            </w:pPr>
            <w:r>
              <w:rPr/>
              <w:t> </w:t>
            </w:r>
          </w:p>
        </w:tc>
      </w:tr>
      <w:tr>
        <w:trPr/>
        <w:tc>
          <w:tcPr>
            <w:tcW w:w="678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0" w:name="xdx_409_eus-gaap--SupplementalCashFlowIn"/>
            <w:bookmarkEnd w:id="180"/>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81" w:name="xdx_40C_eus-gaap--InterestPaidNet_i01_zD"/>
            <w:bookmarkEnd w:id="181"/>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2" w:type="dxa"/>
            <w:tcBorders/>
            <w:shd w:fill="CCEEFF" w:val="clear"/>
            <w:vAlign w:val="center"/>
          </w:tcPr>
          <w:p>
            <w:pPr>
              <w:pStyle w:val="TableContents"/>
              <w:bidi w:val="0"/>
              <w:spacing w:before="0" w:after="283"/>
              <w:jc w:val="left"/>
              <w:rPr/>
            </w:pPr>
            <w:r>
              <w:rPr/>
              <w:t> </w:t>
            </w:r>
            <w:bookmarkStart w:id="182" w:name="xdx_404_eus-gaap--IncomeTaxesPaidNet_i01"/>
            <w:bookmarkEnd w:id="182"/>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83" w:name="xdx_401_eus-gaap--NoncashInvestingAndFin"/>
            <w:bookmarkEnd w:id="183"/>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4" w:name="xdx_40C_ecustom--IncreaseToRightofuseAss"/>
            <w:bookmarkEnd w:id="184"/>
          </w:p>
        </w:tc>
      </w:tr>
      <w:tr>
        <w:trPr/>
        <w:tc>
          <w:tcPr>
            <w:tcW w:w="67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to right-of-use asset and lease liability from lease extension</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85" w:name="xdx_40E_ecustom--SubscriptionsReceivable"/>
            <w:bookmarkEnd w:id="185"/>
          </w:p>
        </w:tc>
      </w:tr>
      <w:tr>
        <w:trPr/>
        <w:tc>
          <w:tcPr>
            <w:tcW w:w="67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Subscriptions receivable</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112"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pBd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186" w:name="a_007"/>
      <w:bookmarkEnd w:id="186"/>
      <w:r>
        <w:rPr>
          <w:rFonts w:ascii="Times New Roman;Times;Serif" w:hAnsi="Times New Roman;Times;Serif"/>
          <w:b/>
          <w:i w:val="false"/>
          <w:caps w:val="false"/>
          <w:smallCaps w:val="false"/>
          <w:sz w:val="20"/>
        </w:rPr>
        <w:t>NOTES TO UNAUDITED CONDENSED CONSOLIDATED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87" w:name="xdx_805_eus-gaap--OrganizationConsolidat"/>
      <w:bookmarkEnd w:id="187"/>
      <w:r>
        <w:rPr>
          <w:rFonts w:ascii="Times New Roman;Times;Serif" w:hAnsi="Times New Roman;Times;Serif"/>
          <w:b/>
          <w:i w:val="false"/>
          <w:caps w:val="false"/>
          <w:smallCaps w:val="false"/>
          <w:sz w:val="20"/>
        </w:rPr>
        <w:t>NOTE 1—</w:t>
      </w:r>
      <w:bookmarkStart w:id="188" w:name="xdx_82E_z9216t7OekHl"/>
      <w:bookmarkEnd w:id="188"/>
      <w:r>
        <w:rPr>
          <w:rFonts w:ascii="Times New Roman;Times;Serif" w:hAnsi="Times New Roman;Times;Serif"/>
          <w:b/>
          <w:i w:val="false"/>
          <w:caps w:val="false"/>
          <w:smallCaps w:val="false"/>
          <w:sz w:val="20"/>
        </w:rPr>
        <w:t>ORGANIZATION AND BUSINESS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(“Aptera” the “Company,” “we,” “us” or “our” and similar terms refers to Aptera Motors Corp. and its subsidiaries unless the context otherwise requires) was incorporated on March 4, 2019 (“Inception”) in the State of Delaware. The Company is developing a solar electric vehicle focused on efficiency. In September 2023, the Company established the subsidiary company Aptera Motors Italia Srl, based in Modena, Italy.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Risks and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highly sensitive to domestic and global economic and business conditions as well as local, state, and federal government policy decisions. Several factors beyond our control could cause material fluctuations in our business and financial condition. In addition, we require a significant amount of capital to fund vehicle manufacturing, have a limited operating history and operate with small management and development teams that contain key employees. We also face significant barriers to market entry and competing technologies. At times, we have experienced constraints and volatility in our supply chain that resulted in increased costs to us. Furthermore, we are affected by uncertain regulatory conditions, fluctuations in demand, and inflation in production and shipping costs. These conditions could affect the volatility of our business, our financial condition and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 and Management’s Plans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from operations since inception and have not generated any revenue to date. We expect to incur significant costs associated with vehicle development, testing, and the commencement of production before generating revenue. As of March 31, 2026, our existing cash and cash equivalents were not sufficient to fund our current operations for the next twelve months. These factors, among others, raise substantial doubt about our ability to continue as a going concern.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executing a multi-phased financial strategy to address our liquidity needs and fund our path to production. Significant milestones achieved include:</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Nasdaq Direct Listing:</w:t>
            </w:r>
            <w:r>
              <w:rPr>
                <w:rFonts w:ascii="Times New Roman;Times;Serif" w:hAnsi="Times New Roman;Times;Serif"/>
                <w:b w:val="false"/>
                <w:i w:val="false"/>
                <w:caps w:val="false"/>
                <w:smallCaps w:val="false"/>
                <w:sz w:val="20"/>
              </w:rPr>
              <w:t xml:space="preserve"> On October 16, 2025, our Class B Common Stock commenced trading on the Nasdaq Capital Market under the ticker symbol “SEV,” providing a platform for broader access to public capital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Equity Line of Credit (“ELOC”):</w:t>
            </w:r>
            <w:r>
              <w:rPr>
                <w:rFonts w:ascii="Times New Roman;Times;Serif" w:hAnsi="Times New Roman;Times;Serif"/>
                <w:b w:val="false"/>
                <w:i w:val="false"/>
                <w:caps w:val="false"/>
                <w:smallCaps w:val="false"/>
                <w:sz w:val="20"/>
              </w:rPr>
              <w:t xml:space="preserve"> In October 2025, we entered into a share purchase agreement providing a committed $</w:t>
            </w:r>
            <w:bookmarkStart w:id="189" w:name="xdx_907_eus-gaap--EquityMethodInvestment"/>
            <w:bookmarkEnd w:id="189"/>
            <w:r>
              <w:rPr>
                <w:rFonts w:ascii="Times New Roman;Times;Serif" w:hAnsi="Times New Roman;Times;Serif"/>
                <w:b w:val="false"/>
                <w:i w:val="false"/>
                <w:caps w:val="false"/>
                <w:smallCaps w:val="false"/>
                <w:sz w:val="20"/>
              </w:rPr>
              <w:t>75 million equity line of credit. Between mid-November and December 2025, we successfully utilized this facility to raise approximately $</w:t>
            </w:r>
            <w:bookmarkStart w:id="190" w:name="xdx_90A_eus-gaap--ProceedsFromLinesOfCre"/>
            <w:bookmarkEnd w:id="190"/>
            <w:r>
              <w:rPr>
                <w:rFonts w:ascii="Times New Roman;Times;Serif" w:hAnsi="Times New Roman;Times;Serif"/>
                <w:b w:val="false"/>
                <w:i w:val="false"/>
                <w:caps w:val="false"/>
                <w:smallCaps w:val="false"/>
                <w:sz w:val="20"/>
              </w:rPr>
              <w:t>3.0 million in gross proceeds.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January 2026 Capital Raise:</w:t>
            </w:r>
            <w:r>
              <w:rPr>
                <w:rFonts w:ascii="Times New Roman;Times;Serif" w:hAnsi="Times New Roman;Times;Serif"/>
                <w:b w:val="false"/>
                <w:i w:val="false"/>
                <w:caps w:val="false"/>
                <w:smallCaps w:val="false"/>
                <w:sz w:val="20"/>
              </w:rPr>
              <w:t xml:space="preserve"> In January 2026, the Company successfully raised an additional $</w:t>
            </w:r>
            <w:bookmarkStart w:id="191" w:name="xdx_90B_eus-gaap--ProceedsFromIssuanceOf"/>
            <w:bookmarkEnd w:id="191"/>
            <w:r>
              <w:rPr>
                <w:rFonts w:ascii="Times New Roman;Times;Serif" w:hAnsi="Times New Roman;Times;Serif"/>
                <w:b w:val="false"/>
                <w:i w:val="false"/>
                <w:caps w:val="false"/>
                <w:smallCaps w:val="false"/>
                <w:sz w:val="20"/>
              </w:rPr>
              <w:t>9 million ($</w:t>
            </w:r>
            <w:bookmarkStart w:id="192" w:name="xdx_90C_eus-gaap--DeferredOfferingCosts_"/>
            <w:bookmarkEnd w:id="192"/>
            <w:r>
              <w:rPr>
                <w:rFonts w:ascii="Times New Roman;Times;Serif" w:hAnsi="Times New Roman;Times;Serif"/>
                <w:b w:val="false"/>
                <w:i w:val="false"/>
                <w:caps w:val="false"/>
                <w:smallCaps w:val="false"/>
                <w:sz w:val="20"/>
              </w:rPr>
              <w:t xml:space="preserve">8.2 million, net of direct offering expenses) through the issuance of common stock and warrants.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 2026 Warrant Exercises:</w:t>
            </w:r>
            <w:r>
              <w:rPr>
                <w:rFonts w:ascii="Times New Roman;Times;Serif" w:hAnsi="Times New Roman;Times;Serif"/>
                <w:b w:val="false"/>
                <w:i w:val="false"/>
                <w:caps w:val="false"/>
                <w:smallCaps w:val="false"/>
                <w:sz w:val="20"/>
              </w:rPr>
              <w:t xml:space="preserve"> During the first quarter of 2026, the Company received aggregate gross cash proceeds of approximately $</w:t>
            </w:r>
            <w:bookmarkStart w:id="193" w:name="xdx_904_eus-gaap--ProceedsFromWarrantExe"/>
            <w:bookmarkEnd w:id="193"/>
            <w:r>
              <w:rPr>
                <w:rFonts w:ascii="Times New Roman;Times;Serif" w:hAnsi="Times New Roman;Times;Serif"/>
                <w:b w:val="false"/>
                <w:i w:val="false"/>
                <w:caps w:val="false"/>
                <w:smallCaps w:val="false"/>
                <w:sz w:val="20"/>
              </w:rPr>
              <w:t>8.1 million from warrant exercises, which included a $</w:t>
            </w:r>
            <w:bookmarkStart w:id="194" w:name="xdx_905_eus-gaap--ProceedsFromOtherEquit"/>
            <w:bookmarkEnd w:id="194"/>
            <w:r>
              <w:rPr>
                <w:rFonts w:ascii="Times New Roman;Times;Serif" w:hAnsi="Times New Roman;Times;Serif"/>
                <w:b w:val="false"/>
                <w:i w:val="false"/>
                <w:caps w:val="false"/>
                <w:smallCaps w:val="false"/>
                <w:sz w:val="20"/>
              </w:rPr>
              <w:t>6.3 million warrant inducement transaction completed on March 12, 2026.</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 is dependent on our ability to obtain sufficient funding by accessing the remaining capacity under our $</w:t>
      </w:r>
      <w:bookmarkStart w:id="195" w:name="xdx_907_eus-gaap--EquityMethodInvestment"/>
      <w:bookmarkEnd w:id="195"/>
      <w:r>
        <w:rPr>
          <w:rFonts w:ascii="Times New Roman;Times;Serif" w:hAnsi="Times New Roman;Times;Serif"/>
          <w:b w:val="false"/>
          <w:i w:val="false"/>
          <w:caps w:val="false"/>
          <w:smallCaps w:val="false"/>
          <w:sz w:val="20"/>
        </w:rPr>
        <w:t>75 million ELOC and raising additional capital through public or private markets. Following the successful capital raises in early 2026, management estimates that an additional $</w:t>
      </w:r>
      <w:bookmarkStart w:id="196" w:name="xdx_903_eus-gaap--OtherAdditionalCapital"/>
      <w:bookmarkEnd w:id="196"/>
      <w:r>
        <w:rPr>
          <w:rFonts w:ascii="Times New Roman;Times;Serif" w:hAnsi="Times New Roman;Times;Serif"/>
          <w:b w:val="false"/>
          <w:i w:val="false"/>
          <w:caps w:val="false"/>
          <w:smallCaps w:val="false"/>
          <w:sz w:val="20"/>
        </w:rPr>
        <w:t>45 million to $</w:t>
      </w:r>
      <w:bookmarkStart w:id="197" w:name="xdx_906_eus-gaap--OtherAdditionalCapital"/>
      <w:bookmarkEnd w:id="197"/>
      <w:r>
        <w:rPr>
          <w:rFonts w:ascii="Times New Roman;Times;Serif" w:hAnsi="Times New Roman;Times;Serif"/>
          <w:b w:val="false"/>
          <w:i w:val="false"/>
          <w:caps w:val="false"/>
          <w:smallCaps w:val="false"/>
          <w:sz w:val="20"/>
        </w:rPr>
        <w:t>50 million is required to fund the initial low-volume production phase of our Carlsbad facility.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believes our access to the public markets and the ELOC provide a viable path to necessary liquidity, there is no guarantee that we will be able to draw down sufficient amounts or secure additional financing on favorable terms. If we are unable to obtain adequate financing, we may be required to implement significant cost-cutting measures or significantly curtail our operations. The accompanying consolidated financial statements do not include any adjustments that might result from the outcome of this uncertainty.</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198" w:name="xdx_80B_eus-gaap--BasisOfPresentationAnd"/>
      <w:bookmarkEnd w:id="198"/>
      <w:r>
        <w:rPr>
          <w:rFonts w:ascii="Times New Roman;Times;Serif" w:hAnsi="Times New Roman;Times;Serif"/>
          <w:b/>
          <w:i w:val="false"/>
          <w:caps w:val="false"/>
          <w:smallCaps w:val="false"/>
          <w:sz w:val="20"/>
        </w:rPr>
        <w:t xml:space="preserve">NOTE 2 – </w:t>
      </w:r>
      <w:bookmarkStart w:id="199" w:name="xdx_82D_zuhMqfEbKYqb"/>
      <w:bookmarkEnd w:id="199"/>
      <w:r>
        <w:rPr>
          <w:rFonts w:ascii="Times New Roman;Times;Serif" w:hAnsi="Times New Roman;Times;Serif"/>
          <w:b/>
          <w:i w:val="false"/>
          <w:caps w:val="false"/>
          <w:smallCaps w:val="false"/>
          <w:sz w:val="20"/>
        </w:rPr>
        <w:t>BASIS OF PRESENTATION AND SUMMARY OF SIGNIFICANT ACCOUNTING POLICIES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00" w:name="xdx_867_z7oCFyortFf4"/>
      <w:bookmarkStart w:id="201" w:name="xdx_84A_eus-gaap--ConsolidationPolicyTex"/>
      <w:bookmarkEnd w:id="200"/>
      <w:bookmarkEnd w:id="201"/>
      <w:r>
        <w:rPr>
          <w:rFonts w:ascii="Times New Roman;Times;Serif" w:hAnsi="Times New Roman;Times;Serif"/>
          <w:b w:val="false"/>
          <w:i/>
          <w:caps w:val="false"/>
          <w:smallCaps w:val="false"/>
          <w:sz w:val="20"/>
        </w:rPr>
        <w:t>Basis of Presentation and Principles of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included herein have been prepared in accordance with generally accepted accounting principles in the United States of America (“U.S. GAAP”). The condensed consolidated financial statements include the accounts of the Company and its wholly owned subsidiaries. All significant intercompany balances and transactions have been eliminated in consolidation.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prepared in accordance with GAAP have been condensed or omitted as permitted by such rules and regulations; however, the Company believes the disclosures are adequate to make the information presented not misleading.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financial information is unaudited, but reflects all normal recurring adjustments that are, in the opinion of management, necessary to fairly present the information set forth herein. The interim condensed consolidated financial statements should be read in conjunction with the audited consolidated financial statements for the year ended December 31, 2025 included in Form 10-K recently filed with the SEC. Interim results are not necessarily indicative of the results expected for the full year.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reportable segment focused on the development of solar electric vehicles. The Co-Chief Executive Officers review consolidated financial information to assess performance and allocate resources.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02" w:name="xdx_867_zoDbRwS1TwIg"/>
      <w:bookmarkStart w:id="203" w:name="xdx_842_eus-gaap--UseOfEstimates_znp001m"/>
      <w:bookmarkEnd w:id="202"/>
      <w:bookmarkEnd w:id="203"/>
      <w:r>
        <w:rPr>
          <w:rFonts w:ascii="Times New Roman;Times;Serif" w:hAnsi="Times New Roman;Times;Serif"/>
          <w:b w:val="false"/>
          <w:i/>
          <w:caps w:val="false"/>
          <w:smallCaps w:val="false"/>
          <w:sz w:val="20"/>
        </w:rPr>
        <w:t>Use of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certain estimates and assumptions that affect the reported amounts of assets and liabilities and disclosure of contingent assets and liabilities at the date of the financial statements and the reported amount of expenses during the reporting periods. We use historical and other pertinent information to determine those estimates. Actual results could materially differ from these estimates.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04" w:name="xdx_869_zGhUCVGcEU28"/>
      <w:bookmarkStart w:id="205" w:name="xdx_845_ecustom--ReverseStockSplitPolicy"/>
      <w:bookmarkEnd w:id="204"/>
      <w:bookmarkEnd w:id="205"/>
      <w:r>
        <w:rPr>
          <w:rFonts w:ascii="Times New Roman;Times;Serif" w:hAnsi="Times New Roman;Times;Serif"/>
          <w:b w:val="false"/>
          <w:i/>
          <w:caps w:val="false"/>
          <w:smallCaps w:val="false"/>
          <w:sz w:val="20"/>
        </w:rPr>
        <w:t>Reverse Stock Split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condensed consolidated financial statements and related notes have been retroactively restated to reflect a </w:t>
      </w:r>
      <w:bookmarkStart w:id="206" w:name="xdx_907_eus-gaap--StockholdersEquityReve"/>
      <w:bookmarkEnd w:id="206"/>
      <w:r>
        <w:rPr>
          <w:rFonts w:ascii="Times New Roman;Times;Serif" w:hAnsi="Times New Roman;Times;Serif"/>
          <w:b w:val="false"/>
          <w:i w:val="false"/>
          <w:caps w:val="false"/>
          <w:smallCaps w:val="false"/>
          <w:sz w:val="20"/>
        </w:rPr>
        <w:t>1-for-3 reverse stock split of the Company’s common stock effected on August 5,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07" w:name="xdx_86A_zg682c0XIXY1"/>
      <w:bookmarkStart w:id="208" w:name="xdx_84B_eus-gaap--FairValueOfFinancialIn"/>
      <w:bookmarkEnd w:id="207"/>
      <w:bookmarkEnd w:id="208"/>
      <w:r>
        <w:rPr>
          <w:rFonts w:ascii="Times New Roman;Times;Serif" w:hAnsi="Times New Roman;Times;Serif"/>
          <w:b w:val="false"/>
          <w:i/>
          <w:caps w:val="false"/>
          <w:smallCaps w:val="false"/>
          <w:sz w:val="20"/>
        </w:rPr>
        <w:t>Fair Value of Financial Instruments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Applicable accounting guidance provides an established hierarchy for inputs used in measuring fair value that maximizes the use of observable inputs and minimizes the use of unobservable inputs by requiring that the most observable inputs be used when available. Observable inputs are inputs that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There are three levels of inputs that may be used to measure fair value: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 that the entity has the ability to access.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2—Observable inputs other than prices included in Level 1, such as quoted prices for similar assets and liabilities in active markets; quoted prices for identical or similar assets and liabilities in markets that are not active; or other inputs that are observable or can be corroborated with observable market data.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hierarchy also requires an entity to maximize the use of observable inputs and minimize the use of unobservable inputs when measuring fair value.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Fair-value estimates discussed herein are based upon certain market assumptions and pertinent information available to management as of the balance sheet dates.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09" w:name="xdx_894_eus-gaap--ScheduleOfFairValueAss"/>
      <w:bookmarkEnd w:id="209"/>
      <w:r>
        <w:rPr>
          <w:rFonts w:ascii="Times New Roman;Times;Serif" w:hAnsi="Times New Roman;Times;Serif"/>
          <w:b w:val="false"/>
          <w:i w:val="false"/>
          <w:caps w:val="false"/>
          <w:smallCaps w:val="false"/>
          <w:sz w:val="20"/>
        </w:rPr>
        <w:t>The following are the classes of assets and liabilities measured at fair value:</w:t>
      </w:r>
    </w:p>
    <w:p>
      <w:pPr>
        <w:pStyle w:val="TextBody"/>
        <w:pBdr/>
        <w:bidi w:val="0"/>
        <w:spacing w:before="0" w:after="0"/>
        <w:ind w:left="0" w:right="0" w:hanging="0"/>
        <w:jc w:val="both"/>
        <w:rPr>
          <w:caps w:val="false"/>
          <w:smallCaps w:val="false"/>
        </w:rPr>
      </w:pPr>
      <w:r>
        <w:rPr>
          <w:caps w:val="false"/>
          <w:smallCaps w:val="false"/>
        </w:rPr>
        <w:t> </w:t>
      </w:r>
      <w:bookmarkStart w:id="210" w:name="xdx_8BF_zg507ZBZdxgj"/>
      <w:bookmarkEnd w:id="210"/>
      <w:r>
        <w:rPr>
          <w:rFonts w:ascii="Times New Roman;Times;Serif" w:hAnsi="Times New Roman;Times;Serif"/>
          <w:b w:val="false"/>
          <w:i w:val="false"/>
          <w:caps w:val="false"/>
          <w:smallCaps w:val="false"/>
          <w:sz w:val="20"/>
        </w:rPr>
        <w:t>SCHEDULE OF CLASSES OF ASSETS AND LIABILITIES MEASURED AT FAIR VALUE</w:t>
      </w:r>
    </w:p>
    <w:tbl>
      <w:tblPr>
        <w:tblW w:w="5553" w:type="dxa"/>
        <w:jc w:val="left"/>
        <w:tblInd w:w="0" w:type="dxa"/>
        <w:tblLayout w:type="fixed"/>
        <w:tblCellMar>
          <w:top w:w="0" w:type="dxa"/>
          <w:left w:w="0" w:type="dxa"/>
          <w:bottom w:w="28" w:type="dxa"/>
          <w:right w:w="0" w:type="dxa"/>
        </w:tblCellMar>
      </w:tblPr>
      <w:tblGrid>
        <w:gridCol w:w="1910"/>
        <w:gridCol w:w="60"/>
        <w:gridCol w:w="140"/>
        <w:gridCol w:w="680"/>
        <w:gridCol w:w="60"/>
        <w:gridCol w:w="60"/>
        <w:gridCol w:w="449"/>
        <w:gridCol w:w="305"/>
        <w:gridCol w:w="60"/>
        <w:gridCol w:w="60"/>
        <w:gridCol w:w="449"/>
        <w:gridCol w:w="305"/>
        <w:gridCol w:w="60"/>
        <w:gridCol w:w="60"/>
        <w:gridCol w:w="140"/>
        <w:gridCol w:w="680"/>
        <w:gridCol w:w="75"/>
      </w:tblGrid>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Description</w:t>
            </w:r>
          </w:p>
        </w:tc>
        <w:tc>
          <w:tcPr>
            <w:tcW w:w="60" w:type="dxa"/>
            <w:tcBorders/>
            <w:tcMar>
              <w:bottom w:w="0" w:type="dxa"/>
            </w:tcMar>
            <w:vAlign w:val="center"/>
          </w:tcPr>
          <w:p>
            <w:pPr>
              <w:pStyle w:val="TableContents"/>
              <w:bidi w:val="0"/>
              <w:spacing w:before="0" w:after="283"/>
              <w:jc w:val="left"/>
              <w:rPr/>
            </w:pPr>
            <w:r>
              <w:rPr/>
              <w:t> </w:t>
            </w:r>
            <w:bookmarkStart w:id="211" w:name="xdx_497_20260331__us-gaap--FairValueByFa"/>
            <w:bookmarkEnd w:id="211"/>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2" w:name="xdx_49E_20260331__us-gaap--FairValueByFa"/>
            <w:bookmarkEnd w:id="212"/>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3" w:name="xdx_498_20260331__us-gaap--FairValueByFa"/>
            <w:bookmarkEnd w:id="213"/>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4" w:name="xdx_49D_20260331_zHCXOK4wxuS5"/>
            <w:bookmarkEnd w:id="214"/>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8"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March 31, 2026</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Description</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bookmarkStart w:id="215" w:name="xdx_402_eus-gaap--AssetsFairValueDisclos"/>
            <w:bookmarkEnd w:id="215"/>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gridSpan w:val="2"/>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16" w:name="xdx_40A_eus-gaap--AssetsFairValueDisclos"/>
            <w:bookmarkEnd w:id="216"/>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w:t>
            </w:r>
          </w:p>
        </w:tc>
        <w:tc>
          <w:tcPr>
            <w:tcW w:w="75" w:type="dxa"/>
            <w:tcBorders/>
            <w:shd w:fill="FFFFFF" w:val="clear"/>
            <w:tcMar>
              <w:bottom w:w="0" w:type="dxa"/>
            </w:tcMar>
            <w:vAlign w:val="center"/>
          </w:tcPr>
          <w:p>
            <w:pPr>
              <w:pStyle w:val="TableContents"/>
              <w:bidi w:val="0"/>
              <w:spacing w:before="0" w:after="283"/>
              <w:jc w:val="left"/>
              <w:rPr/>
            </w:pPr>
            <w:r>
              <w:rPr/>
              <w:t> </w:t>
            </w:r>
            <w:bookmarkStart w:id="217" w:name="xdx_40D_eus-gaap--AssetsFairValueDisclos"/>
            <w:bookmarkEnd w:id="217"/>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5368" w:type="dxa"/>
        <w:jc w:val="left"/>
        <w:tblInd w:w="0" w:type="dxa"/>
        <w:tblLayout w:type="fixed"/>
        <w:tblCellMar>
          <w:top w:w="0" w:type="dxa"/>
          <w:left w:w="0" w:type="dxa"/>
          <w:bottom w:w="28" w:type="dxa"/>
          <w:right w:w="0" w:type="dxa"/>
        </w:tblCellMar>
      </w:tblPr>
      <w:tblGrid>
        <w:gridCol w:w="1910"/>
        <w:gridCol w:w="60"/>
        <w:gridCol w:w="151"/>
        <w:gridCol w:w="604"/>
        <w:gridCol w:w="60"/>
        <w:gridCol w:w="60"/>
        <w:gridCol w:w="449"/>
        <w:gridCol w:w="305"/>
        <w:gridCol w:w="60"/>
        <w:gridCol w:w="60"/>
        <w:gridCol w:w="449"/>
        <w:gridCol w:w="305"/>
        <w:gridCol w:w="60"/>
        <w:gridCol w:w="60"/>
        <w:gridCol w:w="140"/>
        <w:gridCol w:w="560"/>
        <w:gridCol w:w="75"/>
      </w:tblGrid>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Description</w:t>
            </w:r>
          </w:p>
        </w:tc>
        <w:tc>
          <w:tcPr>
            <w:tcW w:w="60" w:type="dxa"/>
            <w:tcBorders/>
            <w:tcMar>
              <w:bottom w:w="0" w:type="dxa"/>
            </w:tcMar>
            <w:vAlign w:val="center"/>
          </w:tcPr>
          <w:p>
            <w:pPr>
              <w:pStyle w:val="TableContents"/>
              <w:bidi w:val="0"/>
              <w:spacing w:before="0" w:after="283"/>
              <w:jc w:val="left"/>
              <w:rPr/>
            </w:pPr>
            <w:r>
              <w:rPr/>
              <w:t> </w:t>
            </w:r>
            <w:bookmarkStart w:id="218" w:name="xdx_492_20251231__us-gaap--FairValueByFa"/>
            <w:bookmarkEnd w:id="218"/>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19" w:name="xdx_495_20251231__us-gaap--FairValueByFa"/>
            <w:bookmarkEnd w:id="219"/>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20" w:name="xdx_490_20251231__us-gaap--FairValueByFa"/>
            <w:bookmarkEnd w:id="220"/>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21" w:name="xdx_49E_20251231_zy0kjoDSqAOa"/>
            <w:bookmarkEnd w:id="221"/>
          </w:p>
        </w:tc>
        <w:tc>
          <w:tcPr>
            <w:tcW w:w="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23" w:type="dxa"/>
            <w:gridSpan w:val="14"/>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75" w:type="dxa"/>
            <w:tcBorders/>
            <w:tcMar>
              <w:bottom w:w="0" w:type="dxa"/>
            </w:tcMar>
            <w:vAlign w:val="center"/>
          </w:tcPr>
          <w:p>
            <w:pPr>
              <w:pStyle w:val="TableContents"/>
              <w:bidi w:val="0"/>
              <w:spacing w:before="0" w:after="283"/>
              <w:jc w:val="left"/>
              <w:rPr/>
            </w:pPr>
            <w:r>
              <w:rPr/>
              <w:t> </w:t>
            </w:r>
          </w:p>
        </w:tc>
      </w:tr>
      <w:tr>
        <w:trPr/>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Description</w:t>
            </w:r>
          </w:p>
        </w:tc>
        <w:tc>
          <w:tcPr>
            <w:tcW w:w="60" w:type="dxa"/>
            <w:tcBorders/>
            <w:tcMar>
              <w:bottom w:w="0" w:type="dxa"/>
            </w:tcMar>
            <w:vAlign w:val="center"/>
          </w:tcPr>
          <w:p>
            <w:pPr>
              <w:pStyle w:val="TableContents"/>
              <w:bidi w:val="0"/>
              <w:spacing w:before="0" w:after="283"/>
              <w:jc w:val="left"/>
              <w:rPr/>
            </w:pPr>
            <w:r>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tcMar>
              <w:bottom w:w="0" w:type="dxa"/>
            </w:tcMar>
            <w:vAlign w:val="center"/>
          </w:tcPr>
          <w:p>
            <w:pPr>
              <w:pStyle w:val="TableContents"/>
              <w:bidi w:val="0"/>
              <w:spacing w:before="0" w:after="283"/>
              <w:jc w:val="left"/>
              <w:rPr/>
            </w:pPr>
            <w:r>
              <w:rPr/>
              <w:t> </w:t>
            </w:r>
            <w:bookmarkStart w:id="222" w:name="xdx_402_eus-gaap--AssetsFairValueDisclos"/>
            <w:bookmarkEnd w:id="222"/>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4" w:type="dxa"/>
            <w:gridSpan w:val="2"/>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0" w:type="dxa"/>
            <w:gridSpan w:val="2"/>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223" w:name="xdx_40A_eus-gaap--AssetsFairValueDisclos"/>
            <w:bookmarkEnd w:id="223"/>
          </w:p>
        </w:tc>
      </w:tr>
      <w:tr>
        <w:trPr/>
        <w:tc>
          <w:tcPr>
            <w:tcW w:w="19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Money market fund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w:t>
            </w:r>
          </w:p>
        </w:tc>
        <w:tc>
          <w:tcPr>
            <w:tcW w:w="75" w:type="dxa"/>
            <w:tcBorders/>
            <w:shd w:fill="FFFFFF" w:val="clear"/>
            <w:tcMar>
              <w:bottom w:w="0" w:type="dxa"/>
            </w:tcMar>
            <w:vAlign w:val="center"/>
          </w:tcPr>
          <w:p>
            <w:pPr>
              <w:pStyle w:val="TableContents"/>
              <w:bidi w:val="0"/>
              <w:spacing w:before="0" w:after="283"/>
              <w:jc w:val="left"/>
              <w:rPr/>
            </w:pPr>
            <w:r>
              <w:rPr/>
              <w:t> </w:t>
            </w:r>
            <w:bookmarkStart w:id="224" w:name="xdx_40D_eus-gaap--AssetsFairValueDisclos"/>
            <w:bookmarkEnd w:id="224"/>
          </w:p>
        </w:tc>
      </w:tr>
      <w:tr>
        <w:trPr/>
        <w:tc>
          <w:tcPr>
            <w:tcW w:w="19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9"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0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225" w:name="xdx_8AA_zyENxpLZuxbd"/>
      <w:bookmarkEnd w:id="225"/>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respective carrying value of cash and cash equivalents, receivables, other current assets, accounts payable, unearned reservation fees and short-term debt approximated their fair values.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26" w:name="xdx_86D_zXppJhUr5CId"/>
      <w:bookmarkStart w:id="227" w:name="xdx_84E_eus-gaap--CashAndCashEquivalents"/>
      <w:bookmarkEnd w:id="226"/>
      <w:bookmarkEnd w:id="227"/>
      <w:r>
        <w:rPr>
          <w:rFonts w:ascii="Times New Roman;Times;Serif" w:hAnsi="Times New Roman;Times;Serif"/>
          <w:b w:val="false"/>
          <w:i/>
          <w:caps w:val="false"/>
          <w:smallCaps w:val="false"/>
          <w:sz w:val="20"/>
        </w:rPr>
        <w:t>Cash and Cash Equivalents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debt instruments purchased with an original maturity of three months or less to be cash equivalents. As of March 31, 2026 and December 31, 2025, cash and cash equivalents contained $</w:t>
      </w:r>
      <w:bookmarkStart w:id="228" w:name="xdx_90A_eus-gaap--ContractWithCustomerLi"/>
      <w:bookmarkStart w:id="229" w:name="xdx_90A_eus-gaap--ContractWithCustomerLi"/>
      <w:bookmarkEnd w:id="228"/>
      <w:bookmarkEnd w:id="229"/>
      <w:r>
        <w:rPr>
          <w:rFonts w:ascii="Times New Roman;Times;Serif" w:hAnsi="Times New Roman;Times;Serif"/>
          <w:b w:val="false"/>
          <w:i w:val="false"/>
          <w:caps w:val="false"/>
          <w:smallCaps w:val="false"/>
          <w:sz w:val="20"/>
        </w:rPr>
        <w:t>4.1 million of unearned refundable customer reservation fees.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30" w:name="xdx_86B_zxWl7dIsyO7a"/>
      <w:bookmarkStart w:id="231" w:name="xdx_84F_eus-gaap--PropertyPlantAndEquipm"/>
      <w:bookmarkEnd w:id="230"/>
      <w:bookmarkEnd w:id="231"/>
      <w:r>
        <w:rPr>
          <w:rFonts w:ascii="Times New Roman;Times;Serif" w:hAnsi="Times New Roman;Times;Serif"/>
          <w:b w:val="false"/>
          <w:i/>
          <w:caps w:val="false"/>
          <w:smallCaps w:val="false"/>
          <w:sz w:val="20"/>
        </w:rPr>
        <w:t>Property and Equipment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32" w:name="xdx_895_ecustom--ScheduleOfPropertyAndEq"/>
      <w:bookmarkEnd w:id="232"/>
      <w:r>
        <w:rPr>
          <w:rFonts w:ascii="Times New Roman;Times;Serif" w:hAnsi="Times New Roman;Times;Serif"/>
          <w:b w:val="false"/>
          <w:i w:val="false"/>
          <w:caps w:val="false"/>
          <w:smallCaps w:val="false"/>
          <w:sz w:val="20"/>
        </w:rPr>
        <w:t>Property and equipment are recorded at cost. Depreciation is computed using the straight-line method over the following estimated useful lives:</w:t>
      </w:r>
    </w:p>
    <w:p>
      <w:pPr>
        <w:pStyle w:val="TextBody"/>
        <w:pBdr/>
        <w:bidi w:val="0"/>
        <w:spacing w:before="0" w:after="0"/>
        <w:ind w:left="0" w:right="0" w:hanging="0"/>
        <w:jc w:val="both"/>
        <w:rPr>
          <w:caps w:val="false"/>
          <w:smallCaps w:val="false"/>
        </w:rPr>
      </w:pPr>
      <w:r>
        <w:rPr>
          <w:caps w:val="false"/>
          <w:smallCaps w:val="false"/>
        </w:rPr>
        <w:t> </w:t>
      </w:r>
      <w:bookmarkStart w:id="233" w:name="xdx_8B8_zXp7p0KI6El5"/>
      <w:bookmarkEnd w:id="233"/>
      <w:r>
        <w:rPr>
          <w:rFonts w:ascii="Times New Roman;Times;Serif" w:hAnsi="Times New Roman;Times;Serif"/>
          <w:b w:val="false"/>
          <w:i w:val="false"/>
          <w:caps w:val="false"/>
          <w:smallCaps w:val="false"/>
          <w:sz w:val="20"/>
        </w:rPr>
        <w:t>SCHEDULE OF PROPERTY AND EQUIPMENT ESTIMATED USEFUL LIVES</w:t>
      </w:r>
    </w:p>
    <w:tbl>
      <w:tblPr>
        <w:tblW w:w="6490" w:type="dxa"/>
        <w:jc w:val="left"/>
        <w:tblInd w:w="0" w:type="dxa"/>
        <w:tblLayout w:type="fixed"/>
        <w:tblCellMar>
          <w:top w:w="0" w:type="dxa"/>
          <w:left w:w="0" w:type="dxa"/>
          <w:bottom w:w="0" w:type="dxa"/>
          <w:right w:w="0" w:type="dxa"/>
        </w:tblCellMar>
      </w:tblPr>
      <w:tblGrid>
        <w:gridCol w:w="3140"/>
        <w:gridCol w:w="3350"/>
      </w:tblGrid>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 hardware and software</w:t>
            </w:r>
          </w:p>
        </w:tc>
        <w:tc>
          <w:tcPr>
            <w:tcW w:w="3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4" w:name="xdx_902_eus-gaap--PropertyPlantAndEquipm"/>
            <w:bookmarkEnd w:id="234"/>
            <w:r>
              <w:rPr>
                <w:rFonts w:ascii="Times New Roman;Times;Serif" w:hAnsi="Times New Roman;Times;Serif"/>
                <w:b w:val="false"/>
                <w:i w:val="false"/>
                <w:caps w:val="false"/>
                <w:smallCaps w:val="false"/>
                <w:sz w:val="20"/>
              </w:rPr>
              <w:t>3 years</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3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5" w:name="xdx_908_eus-gaap--PropertyPlantAndEquipm"/>
            <w:bookmarkEnd w:id="235"/>
            <w:r>
              <w:rPr>
                <w:rFonts w:ascii="Times New Roman;Times;Serif" w:hAnsi="Times New Roman;Times;Serif"/>
                <w:b w:val="false"/>
                <w:i w:val="false"/>
                <w:caps w:val="false"/>
                <w:smallCaps w:val="false"/>
                <w:sz w:val="20"/>
              </w:rPr>
              <w:t xml:space="preserve">shorter of remaining lease term or </w:t>
            </w:r>
            <w:bookmarkStart w:id="236" w:name="xdx_900_eus-gaap--PropertyPlantAndEquipm"/>
            <w:bookmarkEnd w:id="236"/>
            <w:r>
              <w:rPr>
                <w:rFonts w:ascii="Times New Roman;Times;Serif" w:hAnsi="Times New Roman;Times;Serif"/>
                <w:b w:val="false"/>
                <w:i w:val="false"/>
                <w:caps w:val="false"/>
                <w:smallCaps w:val="false"/>
                <w:sz w:val="20"/>
              </w:rPr>
              <w:t>5 years</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equipment</w:t>
            </w:r>
          </w:p>
        </w:tc>
        <w:tc>
          <w:tcPr>
            <w:tcW w:w="33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7" w:name="xdx_908_eus-gaap--PropertyPlantAndEquipm"/>
            <w:bookmarkEnd w:id="237"/>
            <w:r>
              <w:rPr>
                <w:rFonts w:ascii="Times New Roman;Times;Serif" w:hAnsi="Times New Roman;Times;Serif"/>
                <w:b w:val="false"/>
                <w:i w:val="false"/>
                <w:caps w:val="false"/>
                <w:smallCaps w:val="false"/>
                <w:sz w:val="20"/>
              </w:rPr>
              <w:t>5 years</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equipment</w:t>
            </w:r>
          </w:p>
        </w:tc>
        <w:tc>
          <w:tcPr>
            <w:tcW w:w="33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238" w:name="xdx_907_eus-gaap--PropertyPlantAndEquipm"/>
            <w:bookmarkEnd w:id="238"/>
            <w:r>
              <w:rPr>
                <w:rFonts w:ascii="Times New Roman;Times;Serif" w:hAnsi="Times New Roman;Times;Serif"/>
                <w:b w:val="false"/>
                <w:i w:val="false"/>
                <w:caps w:val="false"/>
                <w:smallCaps w:val="false"/>
                <w:sz w:val="20"/>
              </w:rPr>
              <w:t>5 years</w:t>
            </w:r>
          </w:p>
        </w:tc>
      </w:tr>
    </w:tbl>
    <w:p>
      <w:pPr>
        <w:pStyle w:val="TextBody"/>
        <w:pBdr/>
        <w:bidi w:val="0"/>
        <w:spacing w:before="0" w:after="0"/>
        <w:ind w:left="0" w:right="0" w:hanging="0"/>
        <w:jc w:val="both"/>
        <w:rPr>
          <w:caps w:val="false"/>
          <w:smallCaps w:val="false"/>
        </w:rPr>
      </w:pPr>
      <w:bookmarkStart w:id="239" w:name="xdx_8AE_zD2ZAuyXyRA"/>
      <w:bookmarkEnd w:id="239"/>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40" w:name="xdx_869_zMaLbVvlAfij"/>
      <w:bookmarkStart w:id="241" w:name="xdx_840_eus-gaap--ImpairmentOrDisposalOf"/>
      <w:bookmarkEnd w:id="240"/>
      <w:bookmarkEnd w:id="241"/>
      <w:r>
        <w:rPr>
          <w:rFonts w:ascii="Times New Roman;Times;Serif" w:hAnsi="Times New Roman;Times;Serif"/>
          <w:b w:val="false"/>
          <w:i/>
          <w:caps w:val="false"/>
          <w:smallCaps w:val="false"/>
          <w:sz w:val="20"/>
        </w:rPr>
        <w:t>Long-Lived Assets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such as property, plant and equipment and operating lease assets are reviewed for impairment whenever events or changes in circumstances indicate that the carrying amount of an asset may not be recoverable. If circumstances require a long-lived asset or asset group be tested for potential impairment, we first compare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42" w:name="xdx_86E_zcUKJgPCihO9"/>
      <w:bookmarkStart w:id="243" w:name="xdx_843_ecustom--UnearnedReservationFees"/>
      <w:bookmarkEnd w:id="242"/>
      <w:bookmarkEnd w:id="243"/>
      <w:r>
        <w:rPr>
          <w:rFonts w:ascii="Times New Roman;Times;Serif" w:hAnsi="Times New Roman;Times;Serif"/>
          <w:b w:val="false"/>
          <w:i/>
          <w:caps w:val="false"/>
          <w:smallCaps w:val="false"/>
          <w:sz w:val="20"/>
        </w:rPr>
        <w:t>Unearned Reservation Fees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reservation fee liabilities are recorded based on all funds we expect to collect on each transaction, including merchant processor fees charged. We maintain a separate money market account for all customer reservation fees collected.</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44" w:name="xdx_860_zI2dzdUqQayi"/>
      <w:bookmarkStart w:id="245" w:name="xdx_842_eus-gaap--LesseeLeasesPolicyText"/>
      <w:bookmarkEnd w:id="244"/>
      <w:bookmarkEnd w:id="245"/>
      <w:r>
        <w:rPr>
          <w:rFonts w:ascii="Times New Roman;Times;Serif" w:hAnsi="Times New Roman;Times;Serif"/>
          <w:b w:val="false"/>
          <w:i/>
          <w:caps w:val="false"/>
          <w:smallCaps w:val="false"/>
          <w:sz w:val="20"/>
        </w:rPr>
        <w:t>Leases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all operating leases on the condensed consolidated balance sheets at the commencement date. This includes:</w:t>
      </w:r>
    </w:p>
    <w:p>
      <w:pPr>
        <w:pStyle w:val="TextBody"/>
        <w:pBdr/>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70"/>
        <w:gridCol w:w="68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right-of-use (ROU) asset representing the right to use the leased asset.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8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lease liability representing the future lease payments discounted to present value.</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is recognized on a straight-line basis over the lease term, reflecting the benefit of using the leased asset. Our assessed lease terms may include options to extend or terminate the lease when it is reasonably certain that we will exercise that option.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a ROU asset at the commencement of an operating lease, representing the right to use the leased asset. The ROU asset is initially measured at the present value of the non-cancellable lease payments, including any initial direct payments. The ROU asset is depreciated over the lease term, using the same depreciation method and useful life as the underlying leased asset, or if not readily determinable, using a straight-line method over the lease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a lease liability at the commencement of an operating lease, representing the obligation to make lease payments. The lease liability is initially measured at the present value of the non-cancellable lease payments, less any initial direct payments. The lease liability is subsequently remeasured to reflect the present value of the remaining lease payments using the lessee’s incremental borrowing rate at the initial recognition date or the subsequent remeasurement date, if applicable. Interest expense is recognized on the lease liability using the effective interest method.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46" w:name="xdx_863_zklTcaFJZtfa"/>
      <w:bookmarkStart w:id="247" w:name="xdx_84C_eus-gaap--CommitmentsAndContinge"/>
      <w:bookmarkEnd w:id="246"/>
      <w:bookmarkEnd w:id="247"/>
      <w:r>
        <w:rPr>
          <w:rFonts w:ascii="Times New Roman;Times;Serif" w:hAnsi="Times New Roman;Times;Serif"/>
          <w:b w:val="false"/>
          <w:i/>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we accrue for the minimum amount within the range. Legal costs incurred in connection with loss contingencies are expensed as incurred.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enter into purchase obligations with vendors and service providers, which represent expected payments and commitments during the normal course of our business. These purchase obligations are generally cancellable with or without notice and without penalty, although certain vendor agreements provide for cancellation fees or penalties. As of March 31, 2026 and December 31, 2025, we had approximately $</w:t>
      </w:r>
      <w:bookmarkStart w:id="248" w:name="xdx_906_eus-gaap--PurchaseObligation_iI_"/>
      <w:bookmarkEnd w:id="248"/>
      <w:r>
        <w:rPr>
          <w:rFonts w:ascii="Times New Roman;Times;Serif" w:hAnsi="Times New Roman;Times;Serif"/>
          <w:b w:val="false"/>
          <w:i w:val="false"/>
          <w:caps w:val="false"/>
          <w:smallCaps w:val="false"/>
          <w:sz w:val="20"/>
        </w:rPr>
        <w:t>2.2 and $</w:t>
      </w:r>
      <w:bookmarkStart w:id="249" w:name="xdx_90D_eus-gaap--PurchaseObligation_iI_"/>
      <w:bookmarkEnd w:id="249"/>
      <w:r>
        <w:rPr>
          <w:rFonts w:ascii="Times New Roman;Times;Serif" w:hAnsi="Times New Roman;Times;Serif"/>
          <w:b w:val="false"/>
          <w:i w:val="false"/>
          <w:caps w:val="false"/>
          <w:smallCaps w:val="false"/>
          <w:sz w:val="20"/>
        </w:rPr>
        <w:t>2.1 million in open purchase orders,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50" w:name="xdx_863_z20pzCIMEJv6"/>
      <w:bookmarkStart w:id="251" w:name="xdx_84F_eus-gaap--RevenueFromContractWit"/>
      <w:bookmarkEnd w:id="250"/>
      <w:bookmarkEnd w:id="251"/>
      <w:r>
        <w:rPr>
          <w:rFonts w:ascii="Times New Roman;Times;Serif" w:hAnsi="Times New Roman;Times;Serif"/>
          <w:b w:val="false"/>
          <w:i/>
          <w:caps w:val="false"/>
          <w:smallCaps w:val="false"/>
          <w:sz w:val="20"/>
        </w:rPr>
        <w:t>Revenue Recognition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any revenue from operations. The Company is currently in the pre-production development, testing and validation stage.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recognize revenue upon the delivery of its product to customers.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generate revenue is subject to various risks and uncertainties, including successful product development, market acceptance and regulatory approvals. These factors could materially impact the timing and amount of future revenue recognized by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Considerations for Future Revenue Recognition:</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obligations: The Company will assess its contracts with customers to identify the distinct performance obligations and allocate the transaction price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If applicable, the Company will estimate the amount of variable consideration to which it is entitled based on the probability-weighted approach.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return: If customers have a right to return products, the Company will recognize a refund liability and adjust revenue accordingly.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versus agent: The Company will determine whether it acts as a principal or an agent in its transactions, which will impact the presentation of revenue in the financial statements.</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evaluate its revenue recognition policies and procedures as its business evolves and will make any necessary disclosures in future financial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52" w:name="xdx_862_zDGx9NcfibF8"/>
      <w:bookmarkStart w:id="253" w:name="xdx_842_eus-gaap--AdvertisingCostsPolicy"/>
      <w:bookmarkEnd w:id="252"/>
      <w:bookmarkEnd w:id="253"/>
      <w:r>
        <w:rPr>
          <w:rFonts w:ascii="Times New Roman;Times;Serif" w:hAnsi="Times New Roman;Times;Serif"/>
          <w:b w:val="false"/>
          <w:i/>
          <w:caps w:val="false"/>
          <w:smallCaps w:val="false"/>
          <w:sz w:val="20"/>
        </w:rPr>
        <w:t>Advertising Costs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advertising and promotional costs as incurred. Advertising costs are included within selling, general, and administrative expenses in the accompanying consolidated statements of operations. Advertising expenses were $</w:t>
      </w:r>
      <w:bookmarkStart w:id="254" w:name="xdx_903_eus-gaap--AdvertisingExpense_pn4"/>
      <w:bookmarkEnd w:id="254"/>
      <w:r>
        <w:rPr>
          <w:rFonts w:ascii="Times New Roman;Times;Serif" w:hAnsi="Times New Roman;Times;Serif"/>
          <w:b w:val="false"/>
          <w:i w:val="false"/>
          <w:caps w:val="false"/>
          <w:smallCaps w:val="false"/>
          <w:sz w:val="20"/>
        </w:rPr>
        <w:t>0.15 million and $</w:t>
      </w:r>
      <w:bookmarkStart w:id="255" w:name="xdx_90F_eus-gaap--AdvertisingExpense_pn4"/>
      <w:bookmarkEnd w:id="255"/>
      <w:r>
        <w:rPr>
          <w:rFonts w:ascii="Times New Roman;Times;Serif" w:hAnsi="Times New Roman;Times;Serif"/>
          <w:b w:val="false"/>
          <w:i w:val="false"/>
          <w:caps w:val="false"/>
          <w:smallCaps w:val="false"/>
          <w:sz w:val="20"/>
        </w:rPr>
        <w:t>0.41 million for the three months ended March 31, 2026 and 2025, respectively.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56" w:name="xdx_864_zqBZI1PZaPl7"/>
      <w:bookmarkStart w:id="257" w:name="xdx_845_eus-gaap--IncomeTaxPolicyTextBlo"/>
      <w:bookmarkEnd w:id="256"/>
      <w:bookmarkEnd w:id="257"/>
      <w:r>
        <w:rPr>
          <w:rFonts w:ascii="Times New Roman;Times;Serif" w:hAnsi="Times New Roman;Times;Serif"/>
          <w:b w:val="false"/>
          <w:i/>
          <w:caps w:val="false"/>
          <w:smallCaps w:val="false"/>
          <w:sz w:val="20"/>
        </w:rPr>
        <w:t>Income Taxes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for income taxes using the asset and liability approach. As of March 31, 2026, the Company continues to maintain a full valuation allowance against its net deferred tax assets, as management believes it remains more likely than not that they will not be realized. There have been no material changes to the Company’s liability for uncertain tax positions since December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58" w:name="xdx_865_zpUL8Acs9iLk"/>
      <w:bookmarkStart w:id="259" w:name="xdx_84A_eus-gaap--ShareBasedCompensation"/>
      <w:bookmarkEnd w:id="258"/>
      <w:bookmarkEnd w:id="259"/>
      <w:r>
        <w:rPr>
          <w:rFonts w:ascii="Times New Roman;Times;Serif" w:hAnsi="Times New Roman;Times;Serif"/>
          <w:b w:val="false"/>
          <w:i/>
          <w:caps w:val="false"/>
          <w:smallCaps w:val="false"/>
          <w:sz w:val="20"/>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and recognizes compensation expense for all stock-based awards, including stock options and restricted stock units (“RSUs”), granted to employees, directors, and non-employees based on their estimated grant-date fair value.</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 Options:</w:t>
            </w:r>
            <w:r>
              <w:rPr>
                <w:rFonts w:ascii="Times New Roman;Times;Serif" w:hAnsi="Times New Roman;Times;Serif"/>
                <w:b w:val="false"/>
                <w:i w:val="false"/>
                <w:caps w:val="false"/>
                <w:smallCaps w:val="false"/>
                <w:sz w:val="20"/>
              </w:rPr>
              <w:t xml:space="preserve"> The fair value of stock options is estimated at the date of grant using the Black-Scholes option-pricing model.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xml:space="preserve"> The fair value of RSUs is determined based on the closing market price of the Company’s Class B Common Stock on the date of grant.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forfeitures as they occur. Accordingly, compensation expense is recognized only for awards that ultimately vest. Forfeitures are recognized in the period in which they occur, and no estimations or adjustments are made for anticipated forfeitures.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0" w:name="xdx_863_zXgPkkqunka1"/>
      <w:bookmarkStart w:id="261" w:name="xdx_84A_eus-gaap--ResearchAndDevelopment"/>
      <w:bookmarkEnd w:id="260"/>
      <w:bookmarkEnd w:id="261"/>
      <w:r>
        <w:rPr>
          <w:rFonts w:ascii="Times New Roman;Times;Serif" w:hAnsi="Times New Roman;Times;Serif"/>
          <w:b w:val="false"/>
          <w:i/>
          <w:caps w:val="false"/>
          <w:smallCaps w:val="false"/>
          <w:sz w:val="20"/>
        </w:rPr>
        <w:t>Research and 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and represent costs incurred to further new technologies, product design and technical capabilities.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2" w:name="xdx_864_zXLFKWPGzPVf"/>
      <w:bookmarkStart w:id="263" w:name="xdx_84B_eus-gaap--ConcentrationRiskCredi"/>
      <w:bookmarkEnd w:id="262"/>
      <w:bookmarkEnd w:id="263"/>
      <w:r>
        <w:rPr>
          <w:rFonts w:ascii="Times New Roman;Times;Serif" w:hAnsi="Times New Roman;Times;Serif"/>
          <w:b w:val="false"/>
          <w:i/>
          <w:caps w:val="false"/>
          <w:smallCaps w:val="false"/>
          <w:sz w:val="20"/>
        </w:rPr>
        <w:t>Concentration of Credit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us to concentration of credit risk are cash, cash equivalents, and restricted cash. We hold cash in domestic financial institutions that are federally insured within statutory limits. At times, deposits exceed federally insured limits.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4" w:name="xdx_862_z1GC8IQpt5j7"/>
      <w:bookmarkStart w:id="265" w:name="xdx_844_ecustom--ConcentrationRiskSupply"/>
      <w:bookmarkEnd w:id="264"/>
      <w:bookmarkEnd w:id="265"/>
      <w:r>
        <w:rPr>
          <w:rFonts w:ascii="Times New Roman;Times;Serif" w:hAnsi="Times New Roman;Times;Serif"/>
          <w:b w:val="false"/>
          <w:i/>
          <w:caps w:val="false"/>
          <w:smallCaps w:val="false"/>
          <w:sz w:val="20"/>
        </w:rPr>
        <w:t>Concentration of Supply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dependent on a few suppliers for capital equipment, the majority of which are single-source suppliers, and the inability of these suppliers to deliver necessary equipment and components of its products according to the schedule and at prices, quality levels and volumes acceptable to the Company, or its inability to efficiently manage these components, could have a material adverse effect on the Company’s results of operations and financial condition.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66" w:name="xdx_86B_zLB8LRGnKbCb"/>
      <w:bookmarkStart w:id="267" w:name="xdx_84B_eus-gaap--EarningsPerSharePolicy"/>
      <w:bookmarkEnd w:id="266"/>
      <w:bookmarkEnd w:id="267"/>
      <w:r>
        <w:rPr>
          <w:rFonts w:ascii="Times New Roman;Times;Serif" w:hAnsi="Times New Roman;Times;Serif"/>
          <w:b w:val="false"/>
          <w:i/>
          <w:caps w:val="false"/>
          <w:smallCaps w:val="false"/>
          <w:sz w:val="20"/>
        </w:rPr>
        <w:t>Loss Per Share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compute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For periods in which we incur a net loss, the effects of potentially dilutive securities would be antidilutive and would be excluded from diluted calculations. Dilutive securities consist of Preferred Stock, restricted stock units, stock options and warrants issued under the Company’s Equity Incentive Plans.</w:t>
      </w:r>
    </w:p>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68" w:name="xdx_893_eus-gaap--ScheduleOfAntidilutive"/>
      <w:bookmarkEnd w:id="268"/>
      <w:r>
        <w:rPr>
          <w:rFonts w:ascii="Times New Roman;Times;Serif" w:hAnsi="Times New Roman;Times;Serif"/>
          <w:b w:val="false"/>
          <w:i w:val="false"/>
          <w:caps w:val="false"/>
          <w:smallCaps w:val="false"/>
          <w:sz w:val="20"/>
        </w:rPr>
        <w:t>Potentially dilutive securities outstanding were as follows:</w:t>
      </w:r>
    </w:p>
    <w:p>
      <w:pPr>
        <w:pStyle w:val="TextBody"/>
        <w:pBdr/>
        <w:bidi w:val="0"/>
        <w:spacing w:before="0" w:after="0"/>
        <w:ind w:left="0" w:right="0" w:hanging="0"/>
        <w:jc w:val="center"/>
        <w:rPr>
          <w:caps w:val="false"/>
          <w:smallCaps w:val="false"/>
        </w:rPr>
      </w:pPr>
      <w:r>
        <w:rPr>
          <w:caps w:val="false"/>
          <w:smallCaps w:val="false"/>
        </w:rPr>
        <w:t> </w:t>
      </w:r>
      <w:bookmarkStart w:id="269" w:name="xdx_8B1_zEqiAaycgNOi"/>
      <w:bookmarkEnd w:id="269"/>
      <w:r>
        <w:rPr>
          <w:rFonts w:ascii="Times New Roman;Times;Serif" w:hAnsi="Times New Roman;Times;Serif"/>
          <w:b w:val="false"/>
          <w:i w:val="false"/>
          <w:caps w:val="false"/>
          <w:smallCaps w:val="false"/>
          <w:sz w:val="20"/>
        </w:rPr>
        <w:t>SCHEDULE OF POTENTIALLY DILUTIVE SECURITIES OUTSTANDING</w:t>
      </w:r>
    </w:p>
    <w:tbl>
      <w:tblPr>
        <w:tblW w:w="6208" w:type="dxa"/>
        <w:jc w:val="left"/>
        <w:tblInd w:w="0" w:type="dxa"/>
        <w:tblLayout w:type="fixed"/>
        <w:tblCellMar>
          <w:top w:w="0" w:type="dxa"/>
          <w:left w:w="0" w:type="dxa"/>
          <w:bottom w:w="0" w:type="dxa"/>
          <w:right w:w="0" w:type="dxa"/>
        </w:tblCellMar>
      </w:tblPr>
      <w:tblGrid>
        <w:gridCol w:w="2735"/>
        <w:gridCol w:w="60"/>
        <w:gridCol w:w="83"/>
        <w:gridCol w:w="1526"/>
        <w:gridCol w:w="60"/>
        <w:gridCol w:w="60"/>
        <w:gridCol w:w="92"/>
        <w:gridCol w:w="1517"/>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0" w:name="xdx_49E_20260101__20260331_ztwoVTHDioq4"/>
            <w:bookmarkEnd w:id="270"/>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1" w:name="xdx_497_20250101__20250331_zvGyXgoKfCOa"/>
            <w:bookmarkEnd w:id="271"/>
          </w:p>
        </w:tc>
        <w:tc>
          <w:tcPr>
            <w:tcW w:w="16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2025</w:t>
            </w:r>
          </w:p>
        </w:tc>
        <w:tc>
          <w:tcPr>
            <w:tcW w:w="75" w:type="dxa"/>
            <w:tcBorders/>
            <w:vAlign w:val="center"/>
          </w:tcPr>
          <w:p>
            <w:pPr>
              <w:pStyle w:val="TableContents"/>
              <w:bidi w:val="0"/>
              <w:spacing w:before="0" w:after="283"/>
              <w:jc w:val="left"/>
              <w:rPr/>
            </w:pPr>
            <w:r>
              <w:rPr/>
              <w:t> </w:t>
            </w:r>
            <w:bookmarkStart w:id="272" w:name="xdx_404_eus-gaap--AntidilutiveSecurities"/>
            <w:bookmarkEnd w:id="272"/>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3,721,394</w:t>
            </w:r>
          </w:p>
        </w:tc>
        <w:tc>
          <w:tcPr>
            <w:tcW w:w="75" w:type="dxa"/>
            <w:tcBorders/>
            <w:shd w:fill="CCEEFF" w:val="clear"/>
            <w:vAlign w:val="center"/>
          </w:tcPr>
          <w:p>
            <w:pPr>
              <w:pStyle w:val="TableContents"/>
              <w:bidi w:val="0"/>
              <w:spacing w:before="0" w:after="283"/>
              <w:jc w:val="left"/>
              <w:rPr/>
            </w:pPr>
            <w:r>
              <w:rPr/>
              <w:t> </w:t>
            </w:r>
            <w:bookmarkStart w:id="273" w:name="xdx_404_eus-gaap--AntidilutiveSecurities"/>
            <w:bookmarkEnd w:id="273"/>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5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274" w:name="xdx_40B_eus-gaap--AntidilutiveSecurities"/>
            <w:bookmarkEnd w:id="274"/>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6,440,255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3,678,890</w:t>
            </w:r>
          </w:p>
        </w:tc>
        <w:tc>
          <w:tcPr>
            <w:tcW w:w="75" w:type="dxa"/>
            <w:tcBorders/>
            <w:shd w:fill="CCEEFF" w:val="clear"/>
            <w:vAlign w:val="center"/>
          </w:tcPr>
          <w:p>
            <w:pPr>
              <w:pStyle w:val="TableContents"/>
              <w:bidi w:val="0"/>
              <w:spacing w:before="0" w:after="283"/>
              <w:jc w:val="left"/>
              <w:rPr/>
            </w:pPr>
            <w:r>
              <w:rPr/>
              <w:t> </w:t>
            </w:r>
            <w:bookmarkStart w:id="275" w:name="xdx_403_eus-gaap--AntidilutiveSecurities"/>
            <w:bookmarkEnd w:id="275"/>
          </w:p>
        </w:tc>
      </w:tr>
      <w:tr>
        <w:trPr/>
        <w:tc>
          <w:tcPr>
            <w:tcW w:w="27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6,188,337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868,167</w:t>
            </w:r>
          </w:p>
        </w:tc>
        <w:tc>
          <w:tcPr>
            <w:tcW w:w="75" w:type="dxa"/>
            <w:tcBorders/>
            <w:shd w:fill="FFFFFF" w:val="clear"/>
            <w:vAlign w:val="center"/>
          </w:tcPr>
          <w:p>
            <w:pPr>
              <w:pStyle w:val="TableContents"/>
              <w:bidi w:val="0"/>
              <w:spacing w:before="0" w:after="283"/>
              <w:jc w:val="left"/>
              <w:rPr/>
            </w:pPr>
            <w:r>
              <w:rPr/>
              <w:t> </w:t>
            </w:r>
            <w:bookmarkStart w:id="276" w:name="xdx_409_eus-gaap--AntidilutiveSecurities"/>
            <w:bookmarkEnd w:id="276"/>
          </w:p>
        </w:tc>
      </w:tr>
      <w:tr>
        <w:trPr/>
        <w:tc>
          <w:tcPr>
            <w:tcW w:w="27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Potentially dilutive securities</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13,031,090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8,268,451</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center"/>
        <w:rPr>
          <w:caps w:val="false"/>
          <w:smallCaps w:val="false"/>
        </w:rPr>
      </w:pPr>
      <w:bookmarkStart w:id="277" w:name="xdx_8A4_zGd9YQOQfZrd"/>
      <w:bookmarkEnd w:id="277"/>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incurred a net loss for which the effects of our potentially dilutive securities would be antidilutive and are therefore excluded from diluted net loss per share calculations.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278" w:name="xdx_89A_eus-gaap--ScheduleOfEarningsPerS"/>
      <w:bookmarkEnd w:id="278"/>
      <w:r>
        <w:rPr>
          <w:rFonts w:ascii="Times New Roman;Times;Serif" w:hAnsi="Times New Roman;Times;Serif"/>
          <w:b w:val="false"/>
          <w:i w:val="false"/>
          <w:caps w:val="false"/>
          <w:smallCaps w:val="false"/>
          <w:sz w:val="20"/>
        </w:rPr>
        <w:t>The following table sets forth the computation of basic net loss per share of Class A and Class B stock (in thousands, except per share amounts):</w:t>
      </w:r>
    </w:p>
    <w:p>
      <w:pPr>
        <w:pStyle w:val="TextBody"/>
        <w:pBdr/>
        <w:bidi w:val="0"/>
        <w:spacing w:before="0" w:after="0"/>
        <w:ind w:left="0" w:right="0" w:hanging="0"/>
        <w:jc w:val="both"/>
        <w:rPr>
          <w:caps w:val="false"/>
          <w:smallCaps w:val="false"/>
        </w:rPr>
      </w:pPr>
      <w:r>
        <w:rPr>
          <w:caps w:val="false"/>
          <w:smallCaps w:val="false"/>
        </w:rPr>
        <w:t> </w:t>
      </w:r>
      <w:bookmarkStart w:id="279" w:name="xdx_8B8_zSf3LNM5mUa1"/>
      <w:bookmarkEnd w:id="279"/>
      <w:r>
        <w:rPr>
          <w:rFonts w:ascii="Times New Roman;Times;Serif" w:hAnsi="Times New Roman;Times;Serif"/>
          <w:b w:val="false"/>
          <w:i w:val="false"/>
          <w:caps w:val="false"/>
          <w:smallCaps w:val="false"/>
          <w:sz w:val="20"/>
        </w:rPr>
        <w:t>SCHEDULE OF COMPUTATION OF BASIC NET LOSS PER SHARE OF CLASS A AND CLASS B STOCK</w:t>
      </w:r>
    </w:p>
    <w:tbl>
      <w:tblPr>
        <w:tblW w:w="9020" w:type="dxa"/>
        <w:jc w:val="left"/>
        <w:tblInd w:w="0" w:type="dxa"/>
        <w:tblLayout w:type="fixed"/>
        <w:tblCellMar>
          <w:top w:w="0" w:type="dxa"/>
          <w:left w:w="0" w:type="dxa"/>
          <w:bottom w:w="0" w:type="dxa"/>
          <w:right w:w="0" w:type="dxa"/>
        </w:tblCellMar>
      </w:tblPr>
      <w:tblGrid>
        <w:gridCol w:w="3545"/>
        <w:gridCol w:w="60"/>
        <w:gridCol w:w="140"/>
        <w:gridCol w:w="1100"/>
        <w:gridCol w:w="95"/>
        <w:gridCol w:w="60"/>
        <w:gridCol w:w="140"/>
        <w:gridCol w:w="1100"/>
        <w:gridCol w:w="95"/>
        <w:gridCol w:w="60"/>
        <w:gridCol w:w="140"/>
        <w:gridCol w:w="1100"/>
        <w:gridCol w:w="95"/>
        <w:gridCol w:w="60"/>
        <w:gridCol w:w="140"/>
        <w:gridCol w:w="980"/>
        <w:gridCol w:w="110"/>
      </w:tblGrid>
      <w:tr>
        <w:trPr/>
        <w:tc>
          <w:tcPr>
            <w:tcW w:w="3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280" w:name="xdx_49B_20260101__20260331__us-gaap--Sta"/>
            <w:bookmarkEnd w:id="280"/>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281" w:name="xdx_496_20260101__20260331__us-gaap--Sta"/>
            <w:bookmarkEnd w:id="281"/>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282" w:name="xdx_49C_20250101__20250331__us-gaap--Sta"/>
            <w:bookmarkEnd w:id="282"/>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bookmarkStart w:id="283" w:name="xdx_49E_20250101__20250331__us-gaap--Sta"/>
            <w:bookmarkEnd w:id="283"/>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3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March 31,</w:t>
            </w:r>
          </w:p>
        </w:tc>
        <w:tc>
          <w:tcPr>
            <w:tcW w:w="110" w:type="dxa"/>
            <w:tcBorders/>
            <w:vAlign w:val="center"/>
          </w:tcPr>
          <w:p>
            <w:pPr>
              <w:pStyle w:val="TableContents"/>
              <w:bidi w:val="0"/>
              <w:spacing w:before="0" w:after="283"/>
              <w:jc w:val="center"/>
              <w:rPr/>
            </w:pPr>
            <w:r>
              <w:rPr/>
              <w:t> </w:t>
            </w:r>
          </w:p>
        </w:tc>
      </w:tr>
      <w:tr>
        <w:trPr/>
        <w:tc>
          <w:tcPr>
            <w:tcW w:w="3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257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354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4" w:name="xdx_407_eus-gaap--NetIncomeLossAvailable"/>
            <w:bookmarkEnd w:id="284"/>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(8,594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5" w:name="xdx_40B_eus-gaap--WeightedAverageNumberO"/>
            <w:bookmarkEnd w:id="285"/>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12,215,600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19,930,236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18,486,999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4,890,205</w:t>
            </w:r>
          </w:p>
        </w:tc>
        <w:tc>
          <w:tcPr>
            <w:tcW w:w="110" w:type="dxa"/>
            <w:tcBorders/>
            <w:shd w:fill="FFFFFF" w:val="clear"/>
            <w:vAlign w:val="center"/>
          </w:tcPr>
          <w:p>
            <w:pPr>
              <w:pStyle w:val="TableContents"/>
              <w:bidi w:val="0"/>
              <w:spacing w:before="0" w:after="283"/>
              <w:jc w:val="left"/>
              <w:rPr/>
            </w:pPr>
            <w:r>
              <w:rPr/>
              <w:t> </w:t>
            </w:r>
            <w:bookmarkStart w:id="286" w:name="xdx_409_eus-gaap--EarningsPerShareBasic_"/>
            <w:bookmarkEnd w:id="286"/>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(0.32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(0.32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(0.46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(0.46</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pBdr/>
        <w:bidi w:val="0"/>
        <w:spacing w:before="0" w:after="0"/>
        <w:ind w:left="0" w:right="0" w:hanging="0"/>
        <w:jc w:val="both"/>
        <w:rPr>
          <w:caps w:val="false"/>
          <w:smallCaps w:val="false"/>
        </w:rPr>
      </w:pPr>
      <w:bookmarkStart w:id="287" w:name="xdx_8AA_zvDVy4nHiwv9"/>
      <w:bookmarkEnd w:id="287"/>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bookmarkStart w:id="288" w:name="xdx_869_zfBv1Dq4rJzd"/>
      <w:bookmarkStart w:id="289" w:name="xdx_848_eus-gaap--NewAccountingPronounce"/>
      <w:bookmarkEnd w:id="288"/>
      <w:bookmarkEnd w:id="289"/>
      <w:r>
        <w:rPr>
          <w:rFonts w:ascii="Times New Roman;Times;Serif" w:hAnsi="Times New Roman;Times;Serif"/>
          <w:b w:val="false"/>
          <w:i/>
          <w:caps w:val="false"/>
          <w:smallCaps w:val="false"/>
          <w:sz w:val="20"/>
        </w:rPr>
        <w:t>Recent Accounting Pronouncements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which requires public business entities to disclose specific natural expense categories within relevant expense captions. The standard is effective for annual reporting periods beginning after December 15, 2026. The Company is currently evaluating the impact of this standard on its financial statement disclosures.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Interim Reporting (Topic 270): Narrow-Scope Improvements</w:t>
      </w:r>
      <w:r>
        <w:rPr>
          <w:rFonts w:ascii="Times New Roman;Times;Serif" w:hAnsi="Times New Roman;Times;Serif"/>
          <w:b w:val="false"/>
          <w:i w:val="false"/>
          <w:caps w:val="false"/>
          <w:smallCaps w:val="false"/>
          <w:sz w:val="20"/>
        </w:rPr>
        <w:t>, which is intended to improve the guidance in Topic 270 by enhancing the navigability of required interim disclosures and clarifying the applicability of the guidance. The update also introduces a disclosure principle requiring the disclosure of events occurring since the end of the most recent annual reporting period that have a material impact on the entity. For the Company, the standard is effective for interim reporting periods within annual reporting periods beginning after December 15, 2027. The Company is currently evaluating the impact of this standard on its financial statement disclosures.</w:t>
      </w:r>
    </w:p>
    <w:p>
      <w:pPr>
        <w:pStyle w:val="TextBody"/>
        <w:pBdr/>
        <w:bidi w:val="0"/>
        <w:spacing w:before="0" w:after="0"/>
        <w:ind w:left="0" w:right="0" w:hanging="0"/>
        <w:jc w:val="both"/>
        <w:rPr>
          <w:caps w:val="false"/>
          <w:smallCaps w:val="false"/>
        </w:rPr>
      </w:pPr>
      <w:bookmarkStart w:id="290" w:name="xdx_85F_zlZP8zLSc1Ph"/>
      <w:bookmarkEnd w:id="290"/>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1" w:name="xdx_806_eus-gaap--CommitmentsAndContinge"/>
      <w:bookmarkEnd w:id="291"/>
      <w:r>
        <w:rPr>
          <w:rFonts w:ascii="Times New Roman;Times;Serif" w:hAnsi="Times New Roman;Times;Serif"/>
          <w:b/>
          <w:i w:val="false"/>
          <w:caps w:val="false"/>
          <w:smallCaps w:val="false"/>
          <w:sz w:val="20"/>
        </w:rPr>
        <w:t xml:space="preserve">NOTE 3 – </w:t>
      </w:r>
      <w:bookmarkStart w:id="292" w:name="xdx_82E_zmrvgBVD73Aa"/>
      <w:bookmarkEnd w:id="292"/>
      <w:r>
        <w:rPr>
          <w:rFonts w:ascii="Times New Roman;Times;Serif" w:hAnsi="Times New Roman;Times;Serif"/>
          <w:b/>
          <w:i w:val="false"/>
          <w:caps w:val="false"/>
          <w:smallCaps w:val="false"/>
          <w:sz w:val="20"/>
        </w:rPr>
        <w:t>COMMITMENTS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and Regulation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aspects of our business and service areas are subject to U.S. federal, state, and local regulation, as well as regulation outside the United States. The Company is also subject to legal proceedings which arise in the ordinary course of business.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Zaptera USA, Inc. (“Zaptera”) filed a complaint against Aptera Motors Corp. in the U.S. District Court for the Southern District of California alleging design patent infringement, misappropriation of trade secrets, and declaratory judgment of patent ownership, among other claims.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the Company entered into a settlement agreement with Zaptera. Pursuant to the terms of the settlement, the Company agreed to issue </w:t>
      </w:r>
      <w:bookmarkStart w:id="293" w:name="xdx_905_eus-gaap--StockIssuedDuringPerio"/>
      <w:bookmarkEnd w:id="293"/>
      <w:r>
        <w:rPr>
          <w:rFonts w:ascii="Times New Roman;Times;Serif" w:hAnsi="Times New Roman;Times;Serif"/>
          <w:b w:val="false"/>
          <w:i w:val="false"/>
          <w:caps w:val="false"/>
          <w:smallCaps w:val="false"/>
          <w:sz w:val="20"/>
        </w:rPr>
        <w:t xml:space="preserve">105,000 shares of Class B Common Stock and warrants to purchase up to </w:t>
      </w:r>
      <w:bookmarkStart w:id="294" w:name="xdx_900_eus-gaap--ClassOfWarrantOrRightO"/>
      <w:bookmarkEnd w:id="294"/>
      <w:r>
        <w:rPr>
          <w:rFonts w:ascii="Times New Roman;Times;Serif" w:hAnsi="Times New Roman;Times;Serif"/>
          <w:b w:val="false"/>
          <w:i w:val="false"/>
          <w:caps w:val="false"/>
          <w:smallCaps w:val="false"/>
          <w:sz w:val="20"/>
        </w:rPr>
        <w:t>210,000 shares of Class B Common Stock at an exercise price of $</w:t>
      </w:r>
      <w:bookmarkStart w:id="295" w:name="xdx_90F_eus-gaap--ClassOfWarrantOrRightE"/>
      <w:bookmarkEnd w:id="295"/>
      <w:r>
        <w:rPr>
          <w:rFonts w:ascii="Times New Roman;Times;Serif" w:hAnsi="Times New Roman;Times;Serif"/>
          <w:b w:val="false"/>
          <w:i w:val="false"/>
          <w:caps w:val="false"/>
          <w:smallCaps w:val="false"/>
          <w:sz w:val="20"/>
        </w:rPr>
        <w:t xml:space="preserve">2.78 expiring on </w:t>
      </w:r>
      <w:bookmarkStart w:id="296" w:name="xdx_907_eus-gaap--WarrantsAndRightsOutst"/>
      <w:bookmarkEnd w:id="296"/>
      <w:r>
        <w:rPr>
          <w:rFonts w:ascii="Times New Roman;Times;Serif" w:hAnsi="Times New Roman;Times;Serif"/>
          <w:b w:val="false"/>
          <w:i w:val="false"/>
          <w:caps w:val="false"/>
          <w:smallCaps w:val="false"/>
          <w:sz w:val="20"/>
        </w:rPr>
        <w:t>April 8, 2029. As a result of the settlement, the Company accrued liability and recognized litigation expense equivalent to the estimated fair value of the settlement of approximately $</w:t>
      </w:r>
      <w:bookmarkStart w:id="297" w:name="xdx_90A_eus-gaap--SettlementLiabilitiesC"/>
      <w:bookmarkEnd w:id="297"/>
      <w:r>
        <w:rPr>
          <w:rFonts w:ascii="Times New Roman;Times;Serif" w:hAnsi="Times New Roman;Times;Serif"/>
          <w:b w:val="false"/>
          <w:i w:val="false"/>
          <w:caps w:val="false"/>
          <w:smallCaps w:val="false"/>
          <w:sz w:val="20"/>
        </w:rPr>
        <w:t>0.6 million as of March 31, 2026 which is included in “Accrued liabilities” in the condensed consolidated balance sheets and “General, selling, and administrative” in the condensed consolidated statements of operations. On April 9, 2026, all claims related to the action were dismissed with prejudice.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received a subpoena for documents from the staff of the Securities and Exchange Commission (SEC) related to its securities offerings and the production, design, and manufacture of our vehicles. This subpoena is part of an ongoing SEC investigation. The Company continues to cooperate fully with the investigation and is continuing to produce documents in response to the subpoena and subsequent requests.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informed us that the investigation does not mean that it has concluded that anyone has violated the law and that the receipt of the subpoena does not mean that the SEC has a negative opinion of any person, entity, or security. However, the Company can offer no assurances as to the timing, outcome or potential effect, if any, of this ongoing investigation. Responding to the subpoena and related requests continues to require the dedication of management time and attention and has resulted, and may continue to result, in the incurrence of significant expenses, including legal and other professional services fees.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298" w:name="xdx_80B_eus-gaap--LesseeOperatingLeasesT"/>
      <w:bookmarkEnd w:id="298"/>
      <w:r>
        <w:rPr>
          <w:rFonts w:ascii="Times New Roman;Times;Serif" w:hAnsi="Times New Roman;Times;Serif"/>
          <w:b/>
          <w:i w:val="false"/>
          <w:caps w:val="false"/>
          <w:smallCaps w:val="false"/>
          <w:sz w:val="20"/>
        </w:rPr>
        <w:t xml:space="preserve">NOTE 4 – </w:t>
      </w:r>
      <w:bookmarkStart w:id="299" w:name="xdx_829_zmb47uM6fEfh"/>
      <w:bookmarkEnd w:id="299"/>
      <w:r>
        <w:rPr>
          <w:rFonts w:ascii="Times New Roman;Times;Serif" w:hAnsi="Times New Roman;Times;Serif"/>
          <w:b/>
          <w:i w:val="false"/>
          <w:caps w:val="false"/>
          <w:smallCaps w:val="false"/>
          <w:sz w:val="20"/>
        </w:rPr>
        <w:t>LEASES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leases approximately </w:t>
      </w:r>
      <w:bookmarkStart w:id="300" w:name="xdx_90C_eus-gaap--AreaOfLand_iI_uSqft_c2"/>
      <w:bookmarkEnd w:id="300"/>
      <w:r>
        <w:rPr>
          <w:rFonts w:ascii="Times New Roman;Times;Serif" w:hAnsi="Times New Roman;Times;Serif"/>
          <w:b w:val="false"/>
          <w:i w:val="false"/>
          <w:caps w:val="false"/>
          <w:smallCaps w:val="false"/>
          <w:sz w:val="20"/>
        </w:rPr>
        <w:t>77,000 rentable square feet of office, manufacturing, and assembly space at its principal facility in Carlsbad, California.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executed an amendment to extend the lease term for this facility by an additional twelve months, establishing a new expiration date of March 31, 2028. The amendment established a revised monthly base rent of approximately $</w:t>
      </w:r>
      <w:bookmarkStart w:id="301" w:name="xdx_905_eus-gaap--PaymentsForRent_pp0p0_"/>
      <w:bookmarkEnd w:id="301"/>
      <w:r>
        <w:rPr>
          <w:rFonts w:ascii="Times New Roman;Times;Serif" w:hAnsi="Times New Roman;Times;Serif"/>
          <w:b w:val="false"/>
          <w:i w:val="false"/>
          <w:caps w:val="false"/>
          <w:smallCaps w:val="false"/>
          <w:sz w:val="20"/>
        </w:rPr>
        <w:t>106,000 during the extension period and eliminated the Company’s previously existing options to extend the lease for two additional 60-month periods. Additionally, the amendment stipulates that $</w:t>
      </w:r>
      <w:bookmarkStart w:id="302" w:name="xdx_906_eus-gaap--SecurityDeposit_iI_pn5"/>
      <w:bookmarkEnd w:id="302"/>
      <w:r>
        <w:rPr>
          <w:rFonts w:ascii="Times New Roman;Times;Serif" w:hAnsi="Times New Roman;Times;Serif"/>
          <w:b w:val="false"/>
          <w:i w:val="false"/>
          <w:caps w:val="false"/>
          <w:smallCaps w:val="false"/>
          <w:sz w:val="20"/>
        </w:rPr>
        <w:t>0.7 million of the Company’s existing security deposit will be applied toward monthly base rent payments commencing April 1, 2027, reducing the held deposit to $</w:t>
      </w:r>
      <w:bookmarkStart w:id="303" w:name="xdx_900_eus-gaap--Deposits_iI_pn5n6_c202"/>
      <w:bookmarkEnd w:id="303"/>
      <w:r>
        <w:rPr>
          <w:rFonts w:ascii="Times New Roman;Times;Serif" w:hAnsi="Times New Roman;Times;Serif"/>
          <w:b w:val="false"/>
          <w:i w:val="false"/>
          <w:caps w:val="false"/>
          <w:smallCaps w:val="false"/>
          <w:sz w:val="20"/>
        </w:rPr>
        <w:t>0.3 million over time.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this lease modification, the Company remeasured its lease liability and corresponding right-of-use (ROU) asset based on an updated incremental borrowing rate of </w:t>
      </w:r>
      <w:bookmarkStart w:id="304" w:name="xdx_90F_ecustom--PercentageOfRightofuseA"/>
      <w:bookmarkEnd w:id="304"/>
      <w:r>
        <w:rPr>
          <w:rFonts w:ascii="Times New Roman;Times;Serif" w:hAnsi="Times New Roman;Times;Serif"/>
          <w:b w:val="false"/>
          <w:i w:val="false"/>
          <w:caps w:val="false"/>
          <w:smallCaps w:val="false"/>
          <w:sz w:val="20"/>
        </w:rPr>
        <w:t>9.75%. This remeasurement resulted in an increase of $</w:t>
      </w:r>
      <w:bookmarkStart w:id="305" w:name="xdx_90C_eus-gaap--OperatingLeaseLiabilit"/>
      <w:bookmarkStart w:id="306" w:name="xdx_902_eus-gaap--OperatingLeaseRightOfU"/>
      <w:bookmarkEnd w:id="305"/>
      <w:bookmarkEnd w:id="306"/>
      <w:r>
        <w:rPr>
          <w:rFonts w:ascii="Times New Roman;Times;Serif" w:hAnsi="Times New Roman;Times;Serif"/>
          <w:b w:val="false"/>
          <w:i w:val="false"/>
          <w:caps w:val="false"/>
          <w:smallCaps w:val="false"/>
          <w:sz w:val="20"/>
        </w:rPr>
        <w:t>1.1 million to both the operating lease ROU asset and operating lease liability.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07" w:name="xdx_897_eus-gaap--LeaseCostTableTextBloc"/>
      <w:bookmarkEnd w:id="307"/>
      <w:r>
        <w:rPr>
          <w:rFonts w:ascii="Times New Roman;Times;Serif" w:hAnsi="Times New Roman;Times;Serif"/>
          <w:b w:val="false"/>
          <w:i w:val="false"/>
          <w:caps w:val="false"/>
          <w:smallCaps w:val="false"/>
          <w:sz w:val="20"/>
        </w:rPr>
        <w:t>The following table presents supplemental information related to the Company’s operating lease:</w:t>
      </w:r>
    </w:p>
    <w:p>
      <w:pPr>
        <w:pStyle w:val="TextBody"/>
        <w:pBdr/>
        <w:bidi w:val="0"/>
        <w:spacing w:before="0" w:after="0"/>
        <w:ind w:left="0" w:right="0" w:hanging="0"/>
        <w:jc w:val="both"/>
        <w:rPr>
          <w:caps w:val="false"/>
          <w:smallCaps w:val="false"/>
        </w:rPr>
      </w:pPr>
      <w:r>
        <w:rPr>
          <w:caps w:val="false"/>
          <w:smallCaps w:val="false"/>
        </w:rPr>
        <w:t> </w:t>
      </w:r>
      <w:bookmarkStart w:id="308" w:name="xdx_8B9_zsDGtnRdVyCk"/>
      <w:bookmarkEnd w:id="308"/>
      <w:r>
        <w:rPr>
          <w:rFonts w:ascii="Times New Roman;Times;Serif" w:hAnsi="Times New Roman;Times;Serif"/>
          <w:b w:val="false"/>
          <w:i w:val="false"/>
          <w:caps w:val="false"/>
          <w:smallCaps w:val="false"/>
          <w:sz w:val="20"/>
        </w:rPr>
        <w:t>SCHEDULE OF SUPPLEMENTAL INFORMATION RELATED TO OPERATING LEASE</w:t>
      </w:r>
    </w:p>
    <w:tbl>
      <w:tblPr>
        <w:tblW w:w="8828" w:type="dxa"/>
        <w:jc w:val="left"/>
        <w:tblInd w:w="0" w:type="dxa"/>
        <w:tblLayout w:type="fixed"/>
        <w:tblCellMar>
          <w:top w:w="0" w:type="dxa"/>
          <w:left w:w="0" w:type="dxa"/>
          <w:bottom w:w="0" w:type="dxa"/>
          <w:right w:w="0" w:type="dxa"/>
        </w:tblCellMar>
      </w:tblPr>
      <w:tblGrid>
        <w:gridCol w:w="4700"/>
        <w:gridCol w:w="60"/>
        <w:gridCol w:w="192"/>
        <w:gridCol w:w="1417"/>
        <w:gridCol w:w="215"/>
        <w:gridCol w:w="60"/>
        <w:gridCol w:w="233"/>
        <w:gridCol w:w="1721"/>
        <w:gridCol w:w="230"/>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9" w:name="xdx_49E_20260331_zJQ30d6W4PU1"/>
            <w:bookmarkEnd w:id="309"/>
          </w:p>
        </w:tc>
        <w:tc>
          <w:tcPr>
            <w:tcW w:w="16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0" w:name="xdx_49E_20251231_zDVHfDkW1z8h"/>
            <w:bookmarkEnd w:id="310"/>
          </w:p>
        </w:tc>
        <w:tc>
          <w:tcPr>
            <w:tcW w:w="19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23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lease information:</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 (in years)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rFonts w:ascii="Times New Roman;Times;Serif" w:hAnsi="Times New Roman;Times;Serif"/>
              </w:rPr>
            </w:pPr>
            <w:bookmarkStart w:id="311" w:name="xdx_907_eus-gaap--OperatingLeaseWeighted"/>
            <w:bookmarkEnd w:id="311"/>
            <w:r>
              <w:rPr>
                <w:rFonts w:ascii="Times New Roman;Times;Serif" w:hAnsi="Times New Roman;Times;Serif"/>
              </w:rPr>
              <w:t>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721" w:type="dxa"/>
            <w:tcBorders/>
            <w:shd w:fill="FFFFFF" w:val="clear"/>
            <w:vAlign w:val="center"/>
          </w:tcPr>
          <w:p>
            <w:pPr>
              <w:pStyle w:val="TableContents"/>
              <w:bidi w:val="0"/>
              <w:spacing w:before="0" w:after="283"/>
              <w:jc w:val="right"/>
              <w:rPr>
                <w:rFonts w:ascii="Times New Roman;Times;Serif" w:hAnsi="Times New Roman;Times;Serif"/>
              </w:rPr>
            </w:pPr>
            <w:bookmarkStart w:id="312" w:name="xdx_900_eus-gaap--OperatingLeaseWeighted"/>
            <w:bookmarkEnd w:id="312"/>
            <w:r>
              <w:rPr>
                <w:rFonts w:ascii="Times New Roman;Times;Serif" w:hAnsi="Times New Roman;Times;Serif"/>
              </w:rPr>
              <w:t>1.25</w:t>
            </w:r>
          </w:p>
        </w:tc>
        <w:tc>
          <w:tcPr>
            <w:tcW w:w="230" w:type="dxa"/>
            <w:tcBorders/>
            <w:shd w:fill="FFFFFF" w:val="clear"/>
            <w:vAlign w:val="center"/>
          </w:tcPr>
          <w:p>
            <w:pPr>
              <w:pStyle w:val="TableContents"/>
              <w:bidi w:val="0"/>
              <w:spacing w:before="0" w:after="283"/>
              <w:jc w:val="left"/>
              <w:rPr/>
            </w:pPr>
            <w:r>
              <w:rPr/>
              <w:t> </w:t>
            </w:r>
            <w:bookmarkStart w:id="313" w:name="xdx_403_eus-gaap--OperatingLeaseWeighted"/>
            <w:bookmarkEnd w:id="313"/>
          </w:p>
        </w:tc>
      </w:tr>
      <w:tr>
        <w:trPr/>
        <w:tc>
          <w:tcPr>
            <w:tcW w:w="47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pBdr/>
        <w:bidi w:val="0"/>
        <w:spacing w:before="0" w:after="0"/>
        <w:ind w:left="0" w:right="0" w:hanging="0"/>
        <w:jc w:val="both"/>
        <w:rPr>
          <w:caps w:val="false"/>
          <w:smallCaps w:val="false"/>
        </w:rPr>
      </w:pPr>
      <w:bookmarkStart w:id="314" w:name="xdx_8A4_zvcwnLfrL948"/>
      <w:bookmarkEnd w:id="31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operating lease liabilities as of March 31, 2026, are as follows: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15" w:name="xdx_89A_eus-gaap--LesseeOperatingLeaseLi"/>
      <w:bookmarkEnd w:id="315"/>
      <w:r>
        <w:rPr>
          <w:rFonts w:ascii="Times New Roman;Times;Serif" w:hAnsi="Times New Roman;Times;Serif"/>
          <w:b w:val="false"/>
          <w:i w:val="false"/>
          <w:caps w:val="false"/>
          <w:smallCaps w:val="false"/>
          <w:sz w:val="20"/>
        </w:rPr>
        <w:t>The following table summarizes the annual contractual maturities of operating lease liabilities (in thousands):</w:t>
      </w:r>
    </w:p>
    <w:p>
      <w:pPr>
        <w:pStyle w:val="TextBody"/>
        <w:pBdr/>
        <w:bidi w:val="0"/>
        <w:spacing w:before="0" w:after="0"/>
        <w:ind w:left="0" w:right="0" w:hanging="0"/>
        <w:jc w:val="both"/>
        <w:rPr>
          <w:caps w:val="false"/>
          <w:smallCaps w:val="false"/>
        </w:rPr>
      </w:pPr>
      <w:r>
        <w:rPr>
          <w:caps w:val="false"/>
          <w:smallCaps w:val="false"/>
        </w:rPr>
        <w:t> </w:t>
      </w:r>
      <w:bookmarkStart w:id="316" w:name="xdx_8B0_z1Qu5chrBO91"/>
      <w:bookmarkEnd w:id="316"/>
      <w:r>
        <w:rPr>
          <w:rFonts w:ascii="Times New Roman;Times;Serif" w:hAnsi="Times New Roman;Times;Serif"/>
          <w:b w:val="false"/>
          <w:i w:val="false"/>
          <w:caps w:val="false"/>
          <w:smallCaps w:val="false"/>
          <w:sz w:val="20"/>
        </w:rPr>
        <w:t>SCHEDULE OF OPERATING LEASE LIABILITIES</w:t>
      </w:r>
    </w:p>
    <w:tbl>
      <w:tblPr>
        <w:tblW w:w="4755" w:type="dxa"/>
        <w:jc w:val="left"/>
        <w:tblInd w:w="0" w:type="dxa"/>
        <w:tblLayout w:type="fixed"/>
        <w:tblCellMar>
          <w:top w:w="0" w:type="dxa"/>
          <w:left w:w="0" w:type="dxa"/>
          <w:bottom w:w="0" w:type="dxa"/>
          <w:right w:w="0" w:type="dxa"/>
        </w:tblCellMar>
      </w:tblPr>
      <w:tblGrid>
        <w:gridCol w:w="2975"/>
        <w:gridCol w:w="60"/>
        <w:gridCol w:w="322"/>
        <w:gridCol w:w="1288"/>
        <w:gridCol w:w="11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7" w:name="xdx_491_20260331_zRhjNy1ny3fk"/>
            <w:bookmarkEnd w:id="317"/>
          </w:p>
        </w:tc>
        <w:tc>
          <w:tcPr>
            <w:tcW w:w="16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110" w:type="dxa"/>
            <w:tcBorders/>
            <w:vAlign w:val="center"/>
          </w:tcPr>
          <w:p>
            <w:pPr>
              <w:pStyle w:val="TableContents"/>
              <w:bidi w:val="0"/>
              <w:spacing w:before="0" w:after="283"/>
              <w:jc w:val="left"/>
              <w:rPr/>
            </w:pPr>
            <w:r>
              <w:rPr/>
              <w:t> </w:t>
            </w:r>
            <w:bookmarkStart w:id="318" w:name="xdx_40B_eus-gaap--LesseeOperatingLeaseLi"/>
            <w:bookmarkEnd w:id="318"/>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9 months)</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110" w:type="dxa"/>
            <w:tcBorders/>
            <w:shd w:fill="CCEEFF" w:val="clear"/>
            <w:vAlign w:val="center"/>
          </w:tcPr>
          <w:p>
            <w:pPr>
              <w:pStyle w:val="TableContents"/>
              <w:bidi w:val="0"/>
              <w:spacing w:before="0" w:after="283"/>
              <w:jc w:val="left"/>
              <w:rPr/>
            </w:pPr>
            <w:r>
              <w:rPr/>
              <w:t> </w:t>
            </w:r>
            <w:bookmarkStart w:id="319" w:name="xdx_40B_eus-gaap--LesseeOperatingLeaseLi"/>
            <w:bookmarkEnd w:id="319"/>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1,268</w:t>
            </w:r>
          </w:p>
        </w:tc>
        <w:tc>
          <w:tcPr>
            <w:tcW w:w="110" w:type="dxa"/>
            <w:tcBorders/>
            <w:shd w:fill="FFFFFF" w:val="clear"/>
            <w:vAlign w:val="center"/>
          </w:tcPr>
          <w:p>
            <w:pPr>
              <w:pStyle w:val="TableContents"/>
              <w:bidi w:val="0"/>
              <w:spacing w:before="0" w:after="283"/>
              <w:jc w:val="left"/>
              <w:rPr/>
            </w:pPr>
            <w:r>
              <w:rPr/>
              <w:t> </w:t>
            </w:r>
            <w:bookmarkStart w:id="320" w:name="xdx_400_eus-gaap--LesseeOperatingLeaseLi"/>
            <w:bookmarkEnd w:id="320"/>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w:t>
            </w:r>
          </w:p>
        </w:tc>
        <w:tc>
          <w:tcPr>
            <w:tcW w:w="110" w:type="dxa"/>
            <w:tcBorders/>
            <w:shd w:fill="CCEEFF" w:val="clear"/>
            <w:vAlign w:val="center"/>
          </w:tcPr>
          <w:p>
            <w:pPr>
              <w:pStyle w:val="TableContents"/>
              <w:bidi w:val="0"/>
              <w:spacing w:before="0" w:after="283"/>
              <w:jc w:val="left"/>
              <w:rPr/>
            </w:pPr>
            <w:r>
              <w:rPr/>
              <w:t> </w:t>
            </w:r>
            <w:bookmarkStart w:id="321" w:name="xdx_40D_eus-gaap--LesseeOperatingLeaseLi"/>
            <w:bookmarkEnd w:id="321"/>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minimum lease payments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2,534</w:t>
            </w:r>
          </w:p>
        </w:tc>
        <w:tc>
          <w:tcPr>
            <w:tcW w:w="110" w:type="dxa"/>
            <w:tcBorders/>
            <w:shd w:fill="FFFFFF" w:val="clear"/>
            <w:vAlign w:val="center"/>
          </w:tcPr>
          <w:p>
            <w:pPr>
              <w:pStyle w:val="TableContents"/>
              <w:bidi w:val="0"/>
              <w:spacing w:before="0" w:after="283"/>
              <w:jc w:val="left"/>
              <w:rPr/>
            </w:pPr>
            <w:r>
              <w:rPr/>
              <w:t> </w:t>
            </w:r>
            <w:bookmarkStart w:id="322" w:name="xdx_404_eus-gaap--LesseeOperatingLeaseLi"/>
            <w:bookmarkEnd w:id="322"/>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Imputed interest</w:t>
            </w:r>
          </w:p>
        </w:tc>
        <w:tc>
          <w:tcPr>
            <w:tcW w:w="60" w:type="dxa"/>
            <w:tcBorders/>
            <w:shd w:fill="CCEEFF" w:val="clear"/>
            <w:vAlign w:val="center"/>
          </w:tcPr>
          <w:p>
            <w:pPr>
              <w:pStyle w:val="TableContents"/>
              <w:bidi w:val="0"/>
              <w:spacing w:before="0" w:after="283"/>
              <w:jc w:val="left"/>
              <w:rPr/>
            </w:pPr>
            <w:r>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23" w:name="xdx_407_eus-gaap--OperatingLeaseLiabilit"/>
            <w:bookmarkEnd w:id="323"/>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2,313</w:t>
            </w:r>
          </w:p>
        </w:tc>
        <w:tc>
          <w:tcPr>
            <w:tcW w:w="110"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24" w:name="xdx_8AC_zLYdKilFVK1e"/>
      <w:bookmarkEnd w:id="324"/>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w:t>
      </w:r>
      <w:bookmarkStart w:id="325" w:name="xdx_905_eus-gaap--OperatingLeaseExpense_"/>
      <w:bookmarkStart w:id="326" w:name="xdx_90C_eus-gaap--OperatingLeaseExpense_"/>
      <w:bookmarkEnd w:id="325"/>
      <w:bookmarkEnd w:id="326"/>
      <w:r>
        <w:rPr>
          <w:rFonts w:ascii="Times New Roman;Times;Serif" w:hAnsi="Times New Roman;Times;Serif"/>
          <w:b w:val="false"/>
          <w:i w:val="false"/>
          <w:caps w:val="false"/>
          <w:smallCaps w:val="false"/>
          <w:sz w:val="20"/>
        </w:rPr>
        <w:t>0.3 million as operating lease expense for the three months ended March 31, 2026 and 2025, respectively. This expense is allocated to “General, selling, and administrative” and “Research and development” expenses in the condensed consolidated statements of operations.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27" w:name="xdx_804_eus-gaap--StockholdersEquityNote"/>
      <w:bookmarkEnd w:id="327"/>
      <w:r>
        <w:rPr>
          <w:rFonts w:ascii="Times New Roman;Times;Serif" w:hAnsi="Times New Roman;Times;Serif"/>
          <w:b/>
          <w:i w:val="false"/>
          <w:caps w:val="false"/>
          <w:smallCaps w:val="false"/>
          <w:sz w:val="20"/>
        </w:rPr>
        <w:t xml:space="preserve">NOTE 5 – </w:t>
      </w:r>
      <w:bookmarkStart w:id="328" w:name="xdx_826_z2Thae7EkLP2"/>
      <w:bookmarkEnd w:id="328"/>
      <w:r>
        <w:rPr>
          <w:rFonts w:ascii="Times New Roman;Times;Serif" w:hAnsi="Times New Roman;Times;Serif"/>
          <w:b/>
          <w:i w:val="false"/>
          <w:caps w:val="false"/>
          <w:smallCaps w:val="false"/>
          <w:sz w:val="20"/>
        </w:rPr>
        <w:t>STOCKHOLDERS’ EQUITY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authorized capital stock includes Class A Common Stock and Class B Common Stock. The rights of the holders of both classes are identical, including rights to dividends and distributions upon liquidation, except with respect to voting and conversion. Holders of Class A Common Stock are entitled to one vote per share on all matters submitted to a vote of stockholders, while holders of Class B Common Stock are not entitled to voting rights, except as required by applicable law. Additionally, each share of Class A Common Stock is convertible at any time, at the option of the holder, into one share of non-voting Class B Common Stock on a one-for-one basis.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January 2026 Public Offering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26, 2026, the Company closed a registered public offering, issuing </w:t>
      </w:r>
      <w:bookmarkStart w:id="329" w:name="xdx_90C_eus-gaap--SaleOfStockNumberOfSha"/>
      <w:bookmarkEnd w:id="329"/>
      <w:r>
        <w:rPr>
          <w:rFonts w:ascii="Times New Roman;Times;Serif" w:hAnsi="Times New Roman;Times;Serif"/>
          <w:b w:val="false"/>
          <w:i w:val="false"/>
          <w:caps w:val="false"/>
          <w:smallCaps w:val="false"/>
          <w:sz w:val="20"/>
        </w:rPr>
        <w:t xml:space="preserve">4,500,000 shares of Class B common stock and accompanying common stock warrants to purchase up to </w:t>
      </w:r>
      <w:bookmarkStart w:id="330" w:name="xdx_902_eus-gaap--ClassOfWarrantOrRightN"/>
      <w:bookmarkEnd w:id="330"/>
      <w:r>
        <w:rPr>
          <w:rFonts w:ascii="Times New Roman;Times;Serif" w:hAnsi="Times New Roman;Times;Serif"/>
          <w:b w:val="false"/>
          <w:i w:val="false"/>
          <w:caps w:val="false"/>
          <w:smallCaps w:val="false"/>
          <w:sz w:val="20"/>
        </w:rPr>
        <w:t>4,500,000 shares of Class B common stock (“Existing Warrants”). The combined public offering price was $</w:t>
      </w:r>
      <w:bookmarkStart w:id="331" w:name="xdx_90D_eus-gaap--ClassOfWarrantOrRightE"/>
      <w:bookmarkEnd w:id="331"/>
      <w:r>
        <w:rPr>
          <w:rFonts w:ascii="Times New Roman;Times;Serif" w:hAnsi="Times New Roman;Times;Serif"/>
          <w:b w:val="false"/>
          <w:i w:val="false"/>
          <w:caps w:val="false"/>
          <w:smallCaps w:val="false"/>
          <w:sz w:val="20"/>
        </w:rPr>
        <w:t>2.00 per share and accompanying warrant, resulting in gross proceeds of approximately $</w:t>
      </w:r>
      <w:bookmarkStart w:id="332" w:name="xdx_90C_eus-gaap--ProceedsFromIssuanceIn"/>
      <w:bookmarkEnd w:id="332"/>
      <w:r>
        <w:rPr>
          <w:rFonts w:ascii="Times New Roman;Times;Serif" w:hAnsi="Times New Roman;Times;Serif"/>
          <w:b w:val="false"/>
          <w:i w:val="false"/>
          <w:caps w:val="false"/>
          <w:smallCaps w:val="false"/>
          <w:sz w:val="20"/>
        </w:rPr>
        <w:t>9.0 million, before deducting placement agent fees and other offering expenses of approximately $</w:t>
      </w:r>
      <w:bookmarkStart w:id="333" w:name="xdx_90F_eus-gaap--OtherExpenses_pn5n6_c2"/>
      <w:bookmarkEnd w:id="333"/>
      <w:r>
        <w:rPr>
          <w:rFonts w:ascii="Times New Roman;Times;Serif" w:hAnsi="Times New Roman;Times;Serif"/>
          <w:b w:val="false"/>
          <w:i w:val="false"/>
          <w:caps w:val="false"/>
          <w:smallCaps w:val="false"/>
          <w:sz w:val="20"/>
        </w:rPr>
        <w:t>0.8 million. The warrants were issued with an exercise price of $</w:t>
      </w:r>
      <w:bookmarkStart w:id="334" w:name="xdx_90F_eus-gaap--ClassOfWarrantOrRightE"/>
      <w:bookmarkEnd w:id="334"/>
      <w:r>
        <w:rPr>
          <w:rFonts w:ascii="Times New Roman;Times;Serif" w:hAnsi="Times New Roman;Times;Serif"/>
          <w:b w:val="false"/>
          <w:i w:val="false"/>
          <w:caps w:val="false"/>
          <w:smallCaps w:val="false"/>
          <w:sz w:val="20"/>
        </w:rPr>
        <w:t xml:space="preserve">2.00 per share, became exercisable immediately, and expire </w:t>
      </w:r>
      <w:bookmarkStart w:id="335" w:name="xdx_908_eus-gaap--WarrantsAndRightsOutst"/>
      <w:bookmarkEnd w:id="335"/>
      <w:r>
        <w:rPr>
          <w:rFonts w:ascii="Times New Roman;Times;Serif" w:hAnsi="Times New Roman;Times;Serif"/>
          <w:b w:val="false"/>
          <w:i w:val="false"/>
          <w:caps w:val="false"/>
          <w:smallCaps w:val="false"/>
          <w:sz w:val="20"/>
        </w:rPr>
        <w:t>five years from the issuance date.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March 2026 Warrant Inducement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12, 2026, the Company entered into a warrant inducement agreement with certain holders of the warrants previously issued in the January 2026 public offering. Pursuant to the agreement, the holders exercised Existing Warrants to purchase </w:t>
      </w:r>
      <w:bookmarkStart w:id="336" w:name="xdx_90F_eus-gaap--ClassOfWarrantOrRightN"/>
      <w:bookmarkEnd w:id="336"/>
      <w:r>
        <w:rPr>
          <w:rFonts w:ascii="Times New Roman;Times;Serif" w:hAnsi="Times New Roman;Times;Serif"/>
          <w:b w:val="false"/>
          <w:i w:val="false"/>
          <w:caps w:val="false"/>
          <w:smallCaps w:val="false"/>
          <w:sz w:val="20"/>
        </w:rPr>
        <w:t>3,167,500 shares of Class B common stock for gross cash proceeds of approximately $</w:t>
      </w:r>
      <w:bookmarkStart w:id="337" w:name="xdx_901_eus-gaap--ProceedsFromIssuanceOf"/>
      <w:bookmarkEnd w:id="337"/>
      <w:r>
        <w:rPr>
          <w:rFonts w:ascii="Times New Roman;Times;Serif" w:hAnsi="Times New Roman;Times;Serif"/>
          <w:b w:val="false"/>
          <w:i w:val="false"/>
          <w:caps w:val="false"/>
          <w:smallCaps w:val="false"/>
          <w:sz w:val="20"/>
        </w:rPr>
        <w:t>6.3 million, before deducting placement agent fees and other offering expenses of approximately $</w:t>
      </w:r>
      <w:bookmarkStart w:id="338" w:name="xdx_90C_eus-gaap--OtherExpenses_pn5n6_c2"/>
      <w:bookmarkEnd w:id="338"/>
      <w:r>
        <w:rPr>
          <w:rFonts w:ascii="Times New Roman;Times;Serif" w:hAnsi="Times New Roman;Times;Serif"/>
          <w:b w:val="false"/>
          <w:i w:val="false"/>
          <w:caps w:val="false"/>
          <w:smallCaps w:val="false"/>
          <w:sz w:val="20"/>
        </w:rPr>
        <w:t xml:space="preserve">0.4 million. As consideration for the immediate cash exercise of these warrants, the Company issued new, unregistered warrants to purchase up to </w:t>
      </w:r>
      <w:bookmarkStart w:id="339" w:name="xdx_902_eus-gaap--ClassOfWarrantOrRightO"/>
      <w:bookmarkEnd w:id="339"/>
      <w:r>
        <w:rPr>
          <w:rFonts w:ascii="Times New Roman;Times;Serif" w:hAnsi="Times New Roman;Times;Serif"/>
          <w:b w:val="false"/>
          <w:i w:val="false"/>
          <w:caps w:val="false"/>
          <w:smallCaps w:val="false"/>
          <w:sz w:val="20"/>
        </w:rPr>
        <w:t>4,751,250 shares of Class B common stock (“New Warrants”). The New Warrants have an exercise price of $</w:t>
      </w:r>
      <w:bookmarkStart w:id="340" w:name="xdx_90E_eus-gaap--ClassOfWarrantOrRightE"/>
      <w:bookmarkEnd w:id="340"/>
      <w:r>
        <w:rPr>
          <w:rFonts w:ascii="Times New Roman;Times;Serif" w:hAnsi="Times New Roman;Times;Serif"/>
          <w:b w:val="false"/>
          <w:i w:val="false"/>
          <w:caps w:val="false"/>
          <w:smallCaps w:val="false"/>
          <w:sz w:val="20"/>
        </w:rPr>
        <w:t xml:space="preserve">3.50 per share, are immediately exercisable, and expire </w:t>
      </w:r>
      <w:bookmarkStart w:id="341" w:name="xdx_906_eus-gaap--WarrantsAndRightsOutst"/>
      <w:bookmarkEnd w:id="341"/>
      <w:r>
        <w:rPr>
          <w:rFonts w:ascii="Times New Roman;Times;Serif" w:hAnsi="Times New Roman;Times;Serif"/>
          <w:b w:val="false"/>
          <w:i w:val="false"/>
          <w:caps w:val="false"/>
          <w:smallCaps w:val="false"/>
          <w:sz w:val="20"/>
        </w:rPr>
        <w:t>five years from the date of issuance.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New Warrants and the Existing Warrants tendered for exercise on the modification date using the Black-Scholes-Merton option pricing model, with an underlying stock price of $</w:t>
      </w:r>
      <w:bookmarkStart w:id="342" w:name="xdx_906_eus-gaap--SharePrice_iI_c2026033"/>
      <w:bookmarkEnd w:id="342"/>
      <w:r>
        <w:rPr>
          <w:rFonts w:ascii="Times New Roman;Times;Serif" w:hAnsi="Times New Roman;Times;Serif"/>
          <w:b w:val="false"/>
          <w:i w:val="false"/>
          <w:caps w:val="false"/>
          <w:smallCaps w:val="false"/>
          <w:sz w:val="20"/>
        </w:rPr>
        <w:t xml:space="preserve">2.68 (the closing price of the Company’s Class B Common Stock on the modification date), expected volatility of </w:t>
      </w:r>
      <w:bookmarkStart w:id="343" w:name="xdx_90E_eus-gaap--ShareBasedCompensation"/>
      <w:bookmarkEnd w:id="343"/>
      <w:r>
        <w:rPr>
          <w:rFonts w:ascii="Times New Roman;Times;Serif" w:hAnsi="Times New Roman;Times;Serif"/>
          <w:b w:val="false"/>
          <w:i w:val="false"/>
          <w:caps w:val="false"/>
          <w:smallCaps w:val="false"/>
          <w:sz w:val="20"/>
        </w:rPr>
        <w:t xml:space="preserve">90.37% (based on the historical volatility of a peer group of publicly traded companies), a risk-free interest rate of </w:t>
      </w:r>
      <w:bookmarkStart w:id="344" w:name="xdx_901_eus-gaap--ShareBasedCompensation"/>
      <w:bookmarkEnd w:id="344"/>
      <w:r>
        <w:rPr>
          <w:rFonts w:ascii="Times New Roman;Times;Serif" w:hAnsi="Times New Roman;Times;Serif"/>
          <w:b w:val="false"/>
          <w:i w:val="false"/>
          <w:caps w:val="false"/>
          <w:smallCaps w:val="false"/>
          <w:sz w:val="20"/>
        </w:rPr>
        <w:t xml:space="preserve">3.88% (based on the U.S. Treasury constant-maturity yield commensurate with the expected term), an expected dividend yield of </w:t>
      </w:r>
      <w:bookmarkStart w:id="345" w:name="xdx_90D_eus-gaap--ShareBasedCompensation"/>
      <w:bookmarkEnd w:id="345"/>
      <w:r>
        <w:rPr>
          <w:rFonts w:ascii="Times New Roman;Times;Serif" w:hAnsi="Times New Roman;Times;Serif"/>
          <w:b w:val="false"/>
          <w:i w:val="false"/>
          <w:caps w:val="false"/>
          <w:smallCaps w:val="false"/>
          <w:sz w:val="20"/>
        </w:rPr>
        <w:t>0%, and an expected term equal to the remaining contractual life of each instrument (</w:t>
      </w:r>
      <w:bookmarkStart w:id="346" w:name="xdx_905_eus-gaap--SharebasedCompensation"/>
      <w:bookmarkEnd w:id="346"/>
      <w:r>
        <w:rPr>
          <w:rFonts w:ascii="Times New Roman;Times;Serif" w:hAnsi="Times New Roman;Times;Serif"/>
          <w:b w:val="false"/>
          <w:i w:val="false"/>
          <w:caps w:val="false"/>
          <w:smallCaps w:val="false"/>
          <w:sz w:val="20"/>
        </w:rPr>
        <w:t xml:space="preserve">5.00 years for the New Warrants and </w:t>
      </w:r>
      <w:bookmarkStart w:id="347" w:name="xdx_901_eus-gaap--SharebasedCompensation"/>
      <w:bookmarkEnd w:id="347"/>
      <w:r>
        <w:rPr>
          <w:rFonts w:ascii="Times New Roman;Times;Serif" w:hAnsi="Times New Roman;Times;Serif"/>
          <w:b w:val="false"/>
          <w:i w:val="false"/>
          <w:caps w:val="false"/>
          <w:smallCaps w:val="false"/>
          <w:sz w:val="20"/>
        </w:rPr>
        <w:t xml:space="preserve">4.87 years for the Existing Warrants). The aggregate fair value of the </w:t>
      </w:r>
      <w:bookmarkStart w:id="348" w:name="xdx_904_eus-gaap--ClassOfWarrantOrRightO"/>
      <w:bookmarkEnd w:id="348"/>
      <w:r>
        <w:rPr>
          <w:rFonts w:ascii="Times New Roman;Times;Serif" w:hAnsi="Times New Roman;Times;Serif"/>
          <w:b w:val="false"/>
          <w:i w:val="false"/>
          <w:caps w:val="false"/>
          <w:smallCaps w:val="false"/>
          <w:sz w:val="20"/>
        </w:rPr>
        <w:t>4,751,250 New Warrants at issuance was approximately $</w:t>
      </w:r>
      <w:bookmarkStart w:id="349" w:name="xdx_90A_eus-gaap--FairValueAdjustmentOfW"/>
      <w:bookmarkEnd w:id="349"/>
      <w:r>
        <w:rPr>
          <w:rFonts w:ascii="Times New Roman;Times;Serif" w:hAnsi="Times New Roman;Times;Serif"/>
          <w:b w:val="false"/>
          <w:i w:val="false"/>
          <w:caps w:val="false"/>
          <w:smallCaps w:val="false"/>
          <w:sz w:val="20"/>
        </w:rPr>
        <w:t xml:space="preserve">8.6 million, and the aggregate fair value of the </w:t>
      </w:r>
      <w:bookmarkStart w:id="350" w:name="xdx_90D_eus-gaap--ClassOfWarrantOrRightO"/>
      <w:bookmarkEnd w:id="350"/>
      <w:r>
        <w:rPr>
          <w:rFonts w:ascii="Times New Roman;Times;Serif" w:hAnsi="Times New Roman;Times;Serif"/>
          <w:b w:val="false"/>
          <w:i w:val="false"/>
          <w:caps w:val="false"/>
          <w:smallCaps w:val="false"/>
          <w:sz w:val="20"/>
        </w:rPr>
        <w:t>3,167,500 Existing Warrants immediately before exchange was approximately $</w:t>
      </w:r>
      <w:bookmarkStart w:id="351" w:name="xdx_90C_eus-gaap--FairValueAdjustmentOfW"/>
      <w:bookmarkEnd w:id="351"/>
      <w:r>
        <w:rPr>
          <w:rFonts w:ascii="Times New Roman;Times;Serif" w:hAnsi="Times New Roman;Times;Serif"/>
          <w:b w:val="false"/>
          <w:i w:val="false"/>
          <w:caps w:val="false"/>
          <w:smallCaps w:val="false"/>
          <w:sz w:val="20"/>
        </w:rPr>
        <w:t>6.4 million. The resulting inducement consideration of approximately $</w:t>
      </w:r>
      <w:bookmarkStart w:id="352" w:name="xdx_90D_eus-gaap--PaymentsOfStockIssuanc"/>
      <w:bookmarkEnd w:id="352"/>
      <w:r>
        <w:rPr>
          <w:rFonts w:ascii="Times New Roman;Times;Serif" w:hAnsi="Times New Roman;Times;Serif"/>
          <w:b w:val="false"/>
          <w:i w:val="false"/>
          <w:caps w:val="false"/>
          <w:smallCaps w:val="false"/>
          <w:sz w:val="20"/>
        </w:rPr>
        <w:t>4.4 million was recognized as a non-cash equity issuance cost. As both warrant series were determined to be equity-classified, the inducement transaction had no net impact on total stockholders’ equity and no impact on the condensed consolidated statement of operations for the three months ended March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Activity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53" w:name="xdx_893_eus-gaap--ScheduleOfStockholders"/>
      <w:bookmarkEnd w:id="353"/>
      <w:r>
        <w:rPr>
          <w:rFonts w:ascii="Times New Roman;Times;Serif" w:hAnsi="Times New Roman;Times;Serif"/>
          <w:b w:val="false"/>
          <w:i w:val="false"/>
          <w:caps w:val="false"/>
          <w:smallCaps w:val="false"/>
          <w:sz w:val="20"/>
        </w:rPr>
        <w:t>The following table summarizes the Company’s warrant activity for the three months ended March 31, 2026:</w:t>
      </w:r>
    </w:p>
    <w:p>
      <w:pPr>
        <w:pStyle w:val="TextBody"/>
        <w:pBdr/>
        <w:bidi w:val="0"/>
        <w:spacing w:before="0" w:after="0"/>
        <w:ind w:left="0" w:right="0" w:hanging="0"/>
        <w:jc w:val="both"/>
        <w:rPr>
          <w:caps w:val="false"/>
          <w:smallCaps w:val="false"/>
        </w:rPr>
      </w:pPr>
      <w:r>
        <w:rPr>
          <w:caps w:val="false"/>
          <w:smallCaps w:val="false"/>
        </w:rPr>
        <w:t> </w:t>
      </w:r>
      <w:bookmarkStart w:id="354" w:name="xdx_8B4_zjmuET02Olek"/>
      <w:bookmarkEnd w:id="354"/>
      <w:r>
        <w:rPr>
          <w:rFonts w:ascii="Times New Roman;Times;Serif" w:hAnsi="Times New Roman;Times;Serif"/>
          <w:b w:val="false"/>
          <w:i w:val="false"/>
          <w:caps w:val="false"/>
          <w:smallCaps w:val="false"/>
          <w:sz w:val="20"/>
        </w:rPr>
        <w:t>SCHEDULE OF WARRANT ACTIVITY</w:t>
      </w:r>
    </w:p>
    <w:tbl>
      <w:tblPr>
        <w:tblW w:w="9789" w:type="dxa"/>
        <w:jc w:val="left"/>
        <w:tblInd w:w="0" w:type="dxa"/>
        <w:tblLayout w:type="fixed"/>
        <w:tblCellMar>
          <w:top w:w="0" w:type="dxa"/>
          <w:left w:w="0" w:type="dxa"/>
          <w:bottom w:w="0" w:type="dxa"/>
          <w:right w:w="0" w:type="dxa"/>
        </w:tblCellMar>
      </w:tblPr>
      <w:tblGrid>
        <w:gridCol w:w="4505"/>
        <w:gridCol w:w="60"/>
        <w:gridCol w:w="60"/>
        <w:gridCol w:w="1055"/>
        <w:gridCol w:w="95"/>
        <w:gridCol w:w="60"/>
        <w:gridCol w:w="370"/>
        <w:gridCol w:w="1480"/>
        <w:gridCol w:w="60"/>
        <w:gridCol w:w="60"/>
        <w:gridCol w:w="300"/>
        <w:gridCol w:w="1609"/>
        <w:gridCol w:w="75"/>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remaining</w:t>
            </w:r>
          </w:p>
          <w:p>
            <w:pPr>
              <w:pStyle w:val="TableContents"/>
              <w:bidi w:val="0"/>
              <w:spacing w:before="0" w:after="283"/>
              <w:jc w:val="center"/>
              <w:rPr>
                <w:rFonts w:ascii="Times New Roman;Times;Serif" w:hAnsi="Times New Roman;Times;Serif"/>
                <w:b/>
              </w:rPr>
            </w:pPr>
            <w:r>
              <w:rPr>
                <w:rFonts w:ascii="Times New Roman;Times;Serif" w:hAnsi="Times New Roman;Times;Serif"/>
                <w:b/>
              </w:rPr>
              <w:t>contractual term</w:t>
            </w:r>
          </w:p>
        </w:tc>
        <w:tc>
          <w:tcPr>
            <w:tcW w:w="75"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55" w:name="xdx_987_eus-gaap--ShareBasedCompensation"/>
            <w:bookmarkEnd w:id="35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56" w:name="xdx_98D_ecustom--ShareBasedCompensationA"/>
            <w:bookmarkEnd w:id="356"/>
          </w:p>
        </w:tc>
        <w:tc>
          <w:tcPr>
            <w:tcW w:w="14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rFonts w:ascii="Times New Roman;Times;Serif" w:hAnsi="Times New Roman;Times;Serif"/>
              </w:rPr>
            </w:pPr>
            <w:bookmarkStart w:id="357" w:name="xdx_90A_eus-gaap--ShareBasedCompensation"/>
            <w:bookmarkEnd w:id="357"/>
            <w:r>
              <w:rPr>
                <w:rFonts w:ascii="Times New Roman;Times;Serif" w:hAnsi="Times New Roman;Times;Serif"/>
              </w:rPr>
              <w:t>8.6</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8" w:name="xdx_988_eus-gaap--ShareBasedCompensation"/>
            <w:bookmarkEnd w:id="358"/>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9,386,250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bookmarkStart w:id="359" w:name="xdx_987_ecustom--ShareBasedCompensationA"/>
            <w:bookmarkEnd w:id="359"/>
          </w:p>
        </w:tc>
        <w:tc>
          <w:tcPr>
            <w:tcW w:w="14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jc w:val="right"/>
              <w:rPr>
                <w:rFonts w:ascii="Times New Roman;Times;Serif" w:hAnsi="Times New Roman;Times;Serif"/>
              </w:rPr>
            </w:pPr>
            <w:bookmarkStart w:id="360" w:name="xdx_906_ecustom--ShareBasedCompensationA"/>
            <w:bookmarkEnd w:id="360"/>
            <w:r>
              <w:rPr>
                <w:rFonts w:ascii="Times New Roman;Times;Serif" w:hAnsi="Times New Roman;Times;Serif"/>
              </w:rPr>
              <w:t>4.9</w:t>
            </w:r>
          </w:p>
        </w:tc>
        <w:tc>
          <w:tcPr>
            <w:tcW w:w="7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1" w:name="xdx_98A_eus-gaap--ShareBasedCompensation"/>
            <w:bookmarkEnd w:id="361"/>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(4,064,580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bookmarkStart w:id="362" w:name="xdx_985_ecustom--ShareBasedCompensationA"/>
            <w:bookmarkEnd w:id="362"/>
          </w:p>
        </w:tc>
        <w:tc>
          <w:tcPr>
            <w:tcW w:w="14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rFonts w:ascii="Times New Roman;Times;Serif" w:hAnsi="Times New Roman;Times;Serif"/>
              </w:rPr>
            </w:pPr>
            <w:bookmarkStart w:id="363" w:name="xdx_905_ecustom--ShareBasedCompensationA"/>
            <w:bookmarkEnd w:id="363"/>
            <w:r>
              <w:rPr>
                <w:rFonts w:ascii="Times New Roman;Times;Serif" w:hAnsi="Times New Roman;Times;Serif"/>
              </w:rPr>
              <w:t>4.8</w:t>
            </w:r>
          </w:p>
        </w:tc>
        <w:tc>
          <w:tcPr>
            <w:tcW w:w="75"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4" w:name="xdx_98F_eus-gaap--ShareBasedCompensation"/>
            <w:bookmarkEnd w:id="364"/>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bookmarkStart w:id="365" w:name="xdx_988_ecustom--ShareBasedCompensationA"/>
            <w:bookmarkEnd w:id="365"/>
          </w:p>
        </w:tc>
        <w:tc>
          <w:tcPr>
            <w:tcW w:w="14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16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exercisable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66" w:name="xdx_903_ecustom--ShareBasedCompensationA"/>
            <w:bookmarkStart w:id="367" w:name="xdx_905_eus-gaap--ShareBasedCompensation"/>
            <w:bookmarkEnd w:id="366"/>
            <w:bookmarkEnd w:id="367"/>
            <w:r>
              <w:rPr>
                <w:rFonts w:ascii="Times New Roman;Times;Serif" w:hAnsi="Times New Roman;Times;Serif"/>
              </w:rPr>
              <w:t>6,188,337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rFonts w:ascii="Times New Roman;Times;Serif" w:hAnsi="Times New Roman;Times;Serif"/>
              </w:rPr>
            </w:pPr>
            <w:bookmarkStart w:id="368" w:name="xdx_900_ecustom--ShareBasedCompensationA"/>
            <w:bookmarkStart w:id="369" w:name="xdx_903_ecustom--ShareBasedCompensationA"/>
            <w:bookmarkEnd w:id="368"/>
            <w:bookmarkEnd w:id="369"/>
            <w:r>
              <w:rPr>
                <w:rFonts w:ascii="Times New Roman;Times;Serif" w:hAnsi="Times New Roman;Times;Serif"/>
              </w:rPr>
              <w:t>5.09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1609" w:type="dxa"/>
            <w:tcBorders/>
            <w:shd w:fill="CCEEFF" w:val="clear"/>
            <w:vAlign w:val="center"/>
          </w:tcPr>
          <w:p>
            <w:pPr>
              <w:pStyle w:val="TableContents"/>
              <w:bidi w:val="0"/>
              <w:spacing w:before="0" w:after="283"/>
              <w:jc w:val="right"/>
              <w:rPr>
                <w:rFonts w:ascii="Times New Roman;Times;Serif" w:hAnsi="Times New Roman;Times;Serif"/>
              </w:rPr>
            </w:pPr>
            <w:bookmarkStart w:id="370" w:name="xdx_90C_ecustom--ShareBasedCompensationA"/>
            <w:bookmarkStart w:id="371" w:name="xdx_906_eus-gaap--ShareBasedCompensation"/>
            <w:bookmarkEnd w:id="370"/>
            <w:bookmarkEnd w:id="371"/>
            <w:r>
              <w:rPr>
                <w:rFonts w:ascii="Times New Roman;Times;Serif" w:hAnsi="Times New Roman;Times;Serif"/>
              </w:rPr>
              <w:t>5.5</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372" w:name="xdx_8AE_zt0iXXwIIIee"/>
      <w:bookmarkEnd w:id="37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Line of Credit (ELOC)</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entered into a Share Purchase Agreement with New Circle Principal Investments LLC, providing the Company with the right, but not the obligation, to sell up to $</w:t>
      </w:r>
      <w:bookmarkStart w:id="373" w:name="xdx_900_eus-gaap--EquityMethodInvestment"/>
      <w:bookmarkEnd w:id="373"/>
      <w:r>
        <w:rPr>
          <w:rFonts w:ascii="Times New Roman;Times;Serif" w:hAnsi="Times New Roman;Times;Serif"/>
          <w:b w:val="false"/>
          <w:i w:val="false"/>
          <w:caps w:val="false"/>
          <w:smallCaps w:val="false"/>
          <w:sz w:val="20"/>
        </w:rPr>
        <w:t xml:space="preserve">75.0 million of its Class B Common Stock over a 36-month period. </w:t>
      </w:r>
      <w:bookmarkStart w:id="374" w:name="xdx_909_ecustom--VolumeWeightedAveragePr"/>
      <w:bookmarkEnd w:id="374"/>
      <w:r>
        <w:rPr>
          <w:rFonts w:ascii="Times New Roman;Times;Serif" w:hAnsi="Times New Roman;Times;Serif"/>
          <w:b w:val="false"/>
          <w:i w:val="false"/>
          <w:caps w:val="false"/>
          <w:smallCaps w:val="false"/>
          <w:sz w:val="20"/>
        </w:rPr>
        <w:t>Shares are sold at the Company’s discretion at a purchase price based on the Volume Weighted Average Price (VWAP) during a specified pricing period, less a negotiated discount.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access capital under the ELOC is subject to the following primary constraints:</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xml:space="preserve"> </w:t>
            </w:r>
            <w:bookmarkStart w:id="375" w:name="xdx_90B_ecustom--ShareIssuableUnderEquit"/>
            <w:bookmarkEnd w:id="375"/>
            <w:r>
              <w:rPr>
                <w:rFonts w:ascii="Times New Roman;Times;Serif" w:hAnsi="Times New Roman;Times;Serif"/>
                <w:b w:val="false"/>
                <w:i w:val="false"/>
                <w:caps w:val="false"/>
                <w:smallCaps w:val="false"/>
                <w:sz w:val="20"/>
              </w:rPr>
              <w:t>Total shares issued under the facility cannot exceed 19.99% of the shares outstanding as of October 13, 2025, unless stockholder approval is obtained or is not required under applicable Nasdaq rules.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Ownership Cap:</w:t>
            </w:r>
            <w:r>
              <w:rPr>
                <w:rFonts w:ascii="Times New Roman;Times;Serif" w:hAnsi="Times New Roman;Times;Serif"/>
                <w:b w:val="false"/>
                <w:i w:val="false"/>
                <w:caps w:val="false"/>
                <w:smallCaps w:val="false"/>
                <w:sz w:val="20"/>
              </w:rPr>
              <w:t xml:space="preserve"> </w:t>
            </w:r>
            <w:bookmarkStart w:id="376" w:name="xdx_901_ecustom--ShareIssuableUnderEquit"/>
            <w:bookmarkEnd w:id="376"/>
            <w:r>
              <w:rPr>
                <w:rFonts w:ascii="Times New Roman;Times;Serif" w:hAnsi="Times New Roman;Times;Serif"/>
                <w:b w:val="false"/>
                <w:i w:val="false"/>
                <w:caps w:val="false"/>
                <w:smallCaps w:val="false"/>
                <w:sz w:val="20"/>
              </w:rPr>
              <w:t>The investor cannot beneficially own more than 4.99% (or 9.99% upon notice) of the Company’s outstanding Class B Common Stock at any given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Requirement:</w:t>
            </w:r>
            <w:r>
              <w:rPr>
                <w:rFonts w:ascii="Times New Roman;Times;Serif" w:hAnsi="Times New Roman;Times;Serif"/>
                <w:b w:val="false"/>
                <w:i w:val="false"/>
                <w:caps w:val="false"/>
                <w:smallCaps w:val="false"/>
                <w:sz w:val="20"/>
              </w:rPr>
              <w:t xml:space="preserve"> Accessing the facility requires the Company to maintain an effective resale registration statement covering the shares.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January 2026 Public Offering, the Company’s utilization of the ELOC became subject to a 45-day lock-up period, which expired on March 12, 2026. During the three months ended March 31, 2026, the Company did not sell shares of Class B Common Stock under the ELOC. As of March 31, 2026, $</w:t>
      </w:r>
      <w:bookmarkStart w:id="377" w:name="xdx_90D_ecustom--AvailableForFutureUtili"/>
      <w:bookmarkEnd w:id="377"/>
      <w:r>
        <w:rPr>
          <w:rFonts w:ascii="Times New Roman;Times;Serif" w:hAnsi="Times New Roman;Times;Serif"/>
          <w:b w:val="false"/>
          <w:i w:val="false"/>
          <w:caps w:val="false"/>
          <w:smallCaps w:val="false"/>
          <w:sz w:val="20"/>
        </w:rPr>
        <w:t>72.0 million remained available for future utilization under the facility.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378" w:name="xdx_80C_eus-gaap--DisclosureOfCompensati"/>
      <w:bookmarkEnd w:id="378"/>
      <w:r>
        <w:rPr>
          <w:rFonts w:ascii="Times New Roman;Times;Serif" w:hAnsi="Times New Roman;Times;Serif"/>
          <w:b/>
          <w:i w:val="false"/>
          <w:caps w:val="false"/>
          <w:smallCaps w:val="false"/>
          <w:sz w:val="20"/>
        </w:rPr>
        <w:t xml:space="preserve">NOTE 6 – </w:t>
      </w:r>
      <w:bookmarkStart w:id="379" w:name="xdx_822_zVKeuSXJBWkh"/>
      <w:bookmarkEnd w:id="379"/>
      <w:r>
        <w:rPr>
          <w:rFonts w:ascii="Times New Roman;Times;Serif" w:hAnsi="Times New Roman;Times;Serif"/>
          <w:b/>
          <w:i w:val="false"/>
          <w:caps w:val="false"/>
          <w:smallCaps w:val="false"/>
          <w:sz w:val="20"/>
        </w:rPr>
        <w:t>STOCK-BASED COMPENSATION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Equity Incentive Plans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2025 Omnibus Equity Incentive Plan (the “2025 Plan”), which allows for the grant of various equity-based awards to employees, officers, directors, and consultants. As of March 31, 2026, </w:t>
      </w:r>
      <w:bookmarkStart w:id="380" w:name="xdx_902_eus-gaap--ShareBasedCompensation"/>
      <w:bookmarkEnd w:id="380"/>
      <w:r>
        <w:rPr>
          <w:rFonts w:ascii="Times New Roman;Times;Serif" w:hAnsi="Times New Roman;Times;Serif"/>
          <w:b w:val="false"/>
          <w:i w:val="false"/>
          <w:caps w:val="false"/>
          <w:smallCaps w:val="false"/>
          <w:sz w:val="20"/>
        </w:rPr>
        <w:t>11,258,775 shares of Class B Common Stock remained available for future issuance under the 2025 Plan. Although the 2021 Stock Option and Incentive Plan was terminated in October 2025, outstanding awards under that plan remain in effect according to their original terms.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 Activity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381" w:name="xdx_89E_eus-gaap--ScheduleOfShareBasedCo"/>
      <w:bookmarkEnd w:id="381"/>
      <w:r>
        <w:rPr>
          <w:rFonts w:ascii="Times New Roman;Times;Serif" w:hAnsi="Times New Roman;Times;Serif"/>
          <w:b w:val="false"/>
          <w:i w:val="false"/>
          <w:caps w:val="false"/>
          <w:smallCaps w:val="false"/>
          <w:sz w:val="20"/>
        </w:rPr>
        <w:t>A summary of stock option activity for the three months ended March 31, 2026, is as follows (aggregate intrinsic values in thousands):</w:t>
      </w:r>
    </w:p>
    <w:p>
      <w:pPr>
        <w:pStyle w:val="TextBody"/>
        <w:pBdr/>
        <w:bidi w:val="0"/>
        <w:spacing w:before="0" w:after="0"/>
        <w:ind w:left="0" w:right="0" w:hanging="0"/>
        <w:jc w:val="both"/>
        <w:rPr>
          <w:caps w:val="false"/>
          <w:smallCaps w:val="false"/>
        </w:rPr>
      </w:pPr>
      <w:r>
        <w:rPr>
          <w:caps w:val="false"/>
          <w:smallCaps w:val="false"/>
        </w:rPr>
        <w:t> </w:t>
      </w:r>
      <w:bookmarkStart w:id="382" w:name="xdx_8BA_zBihjZ0PGzfi"/>
      <w:bookmarkEnd w:id="382"/>
      <w:r>
        <w:rPr>
          <w:rFonts w:ascii="Times New Roman;Times;Serif" w:hAnsi="Times New Roman;Times;Serif"/>
          <w:b w:val="false"/>
          <w:i w:val="false"/>
          <w:caps w:val="false"/>
          <w:smallCaps w:val="false"/>
          <w:sz w:val="20"/>
        </w:rPr>
        <w:t>SUMMARY OF STOCK OPTION ACTIVITY</w:t>
      </w:r>
    </w:p>
    <w:tbl>
      <w:tblPr>
        <w:tblW w:w="10205" w:type="dxa"/>
        <w:jc w:val="left"/>
        <w:tblInd w:w="0" w:type="dxa"/>
        <w:tblLayout w:type="fixed"/>
        <w:tblCellMar>
          <w:top w:w="0" w:type="dxa"/>
          <w:left w:w="0" w:type="dxa"/>
          <w:bottom w:w="0" w:type="dxa"/>
          <w:right w:w="0" w:type="dxa"/>
        </w:tblCellMar>
      </w:tblPr>
      <w:tblGrid>
        <w:gridCol w:w="3499"/>
        <w:gridCol w:w="60"/>
        <w:gridCol w:w="60"/>
        <w:gridCol w:w="980"/>
        <w:gridCol w:w="95"/>
        <w:gridCol w:w="60"/>
        <w:gridCol w:w="255"/>
        <w:gridCol w:w="1023"/>
        <w:gridCol w:w="60"/>
        <w:gridCol w:w="60"/>
        <w:gridCol w:w="168"/>
        <w:gridCol w:w="946"/>
        <w:gridCol w:w="60"/>
        <w:gridCol w:w="60"/>
        <w:gridCol w:w="255"/>
        <w:gridCol w:w="1023"/>
        <w:gridCol w:w="60"/>
        <w:gridCol w:w="60"/>
        <w:gridCol w:w="160"/>
        <w:gridCol w:w="1182"/>
        <w:gridCol w:w="79"/>
      </w:tblGrid>
      <w:tr>
        <w:trPr/>
        <w:tc>
          <w:tcPr>
            <w:tcW w:w="3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Intrinsic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tc>
        <w:tc>
          <w:tcPr>
            <w:tcW w:w="79" w:type="dxa"/>
            <w:tcBorders/>
            <w:vAlign w:val="center"/>
          </w:tcPr>
          <w:p>
            <w:pPr>
              <w:pStyle w:val="TableContents"/>
              <w:bidi w:val="0"/>
              <w:spacing w:before="0" w:after="283"/>
              <w:jc w:val="left"/>
              <w:rPr/>
            </w:pPr>
            <w:r>
              <w:rPr/>
              <w:t> </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83" w:name="xdx_986_eus-gaap--ShareBasedCompensation"/>
            <w:bookmarkEnd w:id="38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6,652,405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4" w:name="xdx_986_eus-gaap--ShareBasedCompensation"/>
            <w:bookmarkEnd w:id="384"/>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bookmarkStart w:id="385" w:name="xdx_98A_eus-gaap--ShareBasedCompensation"/>
            <w:bookmarkEnd w:id="385"/>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6" w:name="xdx_98F_eus-gaap--SharebasedCompensation"/>
            <w:bookmarkEnd w:id="386"/>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bookmarkStart w:id="387" w:name="xdx_906_eus-gaap--SharebasedCompensation"/>
            <w:bookmarkEnd w:id="387"/>
            <w:r>
              <w:rPr>
                <w:rFonts w:ascii="Times New Roman;Times;Serif" w:hAnsi="Times New Roman;Times;Serif"/>
              </w:rPr>
              <w:t>7.72</w:t>
            </w:r>
          </w:p>
        </w:tc>
        <w:tc>
          <w:tcPr>
            <w:tcW w:w="79" w:type="dxa"/>
            <w:tcBorders/>
            <w:shd w:fill="CCEEFF" w:val="clear"/>
            <w:vAlign w:val="center"/>
          </w:tcPr>
          <w:p>
            <w:pPr>
              <w:pStyle w:val="TableContents"/>
              <w:bidi w:val="0"/>
              <w:spacing w:before="0" w:after="283"/>
              <w:jc w:val="left"/>
              <w:rPr/>
            </w:pPr>
            <w:r>
              <w:rPr/>
              <w:t> </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88" w:name="xdx_982_eus-gaap--ShareBasedCompensation"/>
            <w:bookmarkEnd w:id="38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bookmarkStart w:id="389" w:name="xdx_987_eus-gaap--ShareBasedCompensation"/>
            <w:bookmarkEnd w:id="389"/>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bookmarkStart w:id="390" w:name="xdx_981_ecustom--ShareBasedCompensationA"/>
            <w:bookmarkEnd w:id="390"/>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bookmarkStart w:id="391" w:name="xdx_987_eus-gaap--ShareBasedCompensation"/>
            <w:bookmarkEnd w:id="391"/>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92" w:name="xdx_980_eus-gaap--ShareBasedCompensation"/>
            <w:bookmarkEnd w:id="39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bookmarkStart w:id="393" w:name="xdx_988_eus-gaap--ShareBasedCompensation"/>
            <w:bookmarkEnd w:id="393"/>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bookmarkStart w:id="394" w:name="xdx_980_ecustom--ShareBasedCompensationA"/>
            <w:bookmarkEnd w:id="394"/>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bookmarkStart w:id="395" w:name="xdx_980_eus-gaap--SharebasedCompensation"/>
            <w:bookmarkEnd w:id="395"/>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Expired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96" w:name="xdx_98D_eus-gaap--ShareBasedCompensation"/>
            <w:bookmarkEnd w:id="396"/>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(212,150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bookmarkStart w:id="397" w:name="xdx_98D_eus-gaap--ShareBasedCompensation"/>
            <w:bookmarkEnd w:id="397"/>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bookmarkStart w:id="398" w:name="xdx_983_ecustom--ShareBasedCompensationA"/>
            <w:bookmarkEnd w:id="398"/>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bookmarkStart w:id="399" w:name="xdx_98B_ecustom--ShareBasedCompensationA"/>
            <w:bookmarkEnd w:id="399"/>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34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and expected to vest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00" w:name="xdx_981_eus-gaap--ShareBasedCompensation"/>
            <w:bookmarkEnd w:id="400"/>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6,440,255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bookmarkStart w:id="401" w:name="xdx_98D_eus-gaap--ShareBasedCompensation"/>
            <w:bookmarkEnd w:id="401"/>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bookmarkStart w:id="402" w:name="xdx_981_eus-gaap--ShareBasedCompensation"/>
            <w:bookmarkEnd w:id="402"/>
          </w:p>
        </w:tc>
        <w:tc>
          <w:tcPr>
            <w:tcW w:w="946"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bookmarkStart w:id="403" w:name="xdx_984_eus-gaap--SharebasedCompensation"/>
            <w:bookmarkEnd w:id="403"/>
          </w:p>
        </w:tc>
        <w:tc>
          <w:tcPr>
            <w:tcW w:w="10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bookmarkStart w:id="404" w:name="xdx_90B_eus-gaap--SharebasedCompensation"/>
            <w:bookmarkEnd w:id="404"/>
            <w:r>
              <w:rPr>
                <w:rFonts w:ascii="Times New Roman;Times;Serif" w:hAnsi="Times New Roman;Times;Serif"/>
              </w:rPr>
              <w:t>7.72</w:t>
            </w:r>
          </w:p>
        </w:tc>
        <w:tc>
          <w:tcPr>
            <w:tcW w:w="79" w:type="dxa"/>
            <w:tcBorders/>
            <w:shd w:fill="CCEEFF" w:val="clear"/>
            <w:vAlign w:val="center"/>
          </w:tcPr>
          <w:p>
            <w:pPr>
              <w:pStyle w:val="TableContents"/>
              <w:bidi w:val="0"/>
              <w:spacing w:before="0" w:after="283"/>
              <w:jc w:val="left"/>
              <w:rPr/>
            </w:pPr>
            <w:r>
              <w:rPr/>
              <w:t> </w:t>
            </w:r>
          </w:p>
        </w:tc>
      </w:tr>
      <w:tr>
        <w:trPr/>
        <w:tc>
          <w:tcPr>
            <w:tcW w:w="34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exercisable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05" w:name="xdx_989_eus-gaap--ShareBasedCompensation"/>
            <w:bookmarkEnd w:id="405"/>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3,503,314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bookmarkStart w:id="406" w:name="xdx_981_eus-gaap--ShareBasedCompensation"/>
            <w:bookmarkEnd w:id="406"/>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bookmarkStart w:id="407" w:name="xdx_982_eus-gaap--SharebasedCompensation"/>
            <w:bookmarkEnd w:id="407"/>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sz w:val="20"/>
              </w:rPr>
              <w:t>-</w:t>
            </w:r>
            <w:r>
              <w:rPr>
                <w:rFonts w:ascii="Times New Roman;Times;Serif" w:hAnsi="Times New Roman;Times;Serif"/>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bookmarkStart w:id="408" w:name="xdx_986_ecustom--ShareBasedCompensationA"/>
            <w:bookmarkEnd w:id="408"/>
          </w:p>
        </w:tc>
        <w:tc>
          <w:tcPr>
            <w:tcW w:w="10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bookmarkStart w:id="409" w:name="xdx_901_eus-gaap--SharebasedCompensation"/>
            <w:bookmarkEnd w:id="409"/>
            <w:r>
              <w:rPr>
                <w:rFonts w:ascii="Times New Roman;Times;Serif" w:hAnsi="Times New Roman;Times;Serif"/>
              </w:rPr>
              <w:t>6.29</w:t>
            </w:r>
          </w:p>
        </w:tc>
        <w:tc>
          <w:tcPr>
            <w:tcW w:w="79"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10" w:name="xdx_8AB_z2yWIOIstO7l"/>
      <w:bookmarkEnd w:id="410"/>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options granted during the three months ended March 31, 2026 and 2025. The total fair value of stock options vested during the three months ended March 31, 2026 and 2025 was approximately $</w:t>
      </w:r>
      <w:bookmarkStart w:id="411" w:name="xdx_90B_eus-gaap--StockGrantedDuringPeri"/>
      <w:bookmarkEnd w:id="411"/>
      <w:r>
        <w:rPr>
          <w:rFonts w:ascii="Times New Roman;Times;Serif" w:hAnsi="Times New Roman;Times;Serif"/>
          <w:b w:val="false"/>
          <w:i w:val="false"/>
          <w:caps w:val="false"/>
          <w:smallCaps w:val="false"/>
          <w:sz w:val="20"/>
        </w:rPr>
        <w:t>2.4 million and $</w:t>
      </w:r>
      <w:bookmarkStart w:id="412" w:name="xdx_905_eus-gaap--StockGrantedDuringPeri"/>
      <w:bookmarkEnd w:id="412"/>
      <w:r>
        <w:rPr>
          <w:rFonts w:ascii="Times New Roman;Times;Serif" w:hAnsi="Times New Roman;Times;Serif"/>
          <w:b w:val="false"/>
          <w:i w:val="false"/>
          <w:caps w:val="false"/>
          <w:smallCaps w:val="false"/>
          <w:sz w:val="20"/>
        </w:rPr>
        <w:t xml:space="preserve">0.9 million, respectively. </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options utilizing the Black-Scholes option pricing model, which is dependent upon several variables, including expected option term, expected volatility of our share price over the expected term, expected risk-free interest rate, and the underlying estimated fair value of our common stock. There were no options issued during the three months ended March 31, 2026 and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the Black-Scholes option-pricing model to estimate the fair value of stock options on the date of grant. The expected term is estimated using the simplified method, and expected volatility is based on the historical volatility of a peer group of publicly traded companies.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 Activity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13" w:name="xdx_891_eus-gaap--ScheduleOfSharebasedCo"/>
      <w:bookmarkEnd w:id="413"/>
      <w:r>
        <w:rPr>
          <w:rFonts w:ascii="Times New Roman;Times;Serif" w:hAnsi="Times New Roman;Times;Serif"/>
          <w:b w:val="false"/>
          <w:i w:val="false"/>
          <w:caps w:val="false"/>
          <w:smallCaps w:val="false"/>
          <w:sz w:val="20"/>
        </w:rPr>
        <w:t>A summary of restricted stock unit activity for the three months ended March 31, 2026 is as follows:</w:t>
      </w:r>
    </w:p>
    <w:p>
      <w:pPr>
        <w:pStyle w:val="TextBody"/>
        <w:pBdr/>
        <w:bidi w:val="0"/>
        <w:spacing w:before="0" w:after="0"/>
        <w:ind w:left="0" w:right="0" w:hanging="0"/>
        <w:jc w:val="both"/>
        <w:rPr>
          <w:caps w:val="false"/>
          <w:smallCaps w:val="false"/>
        </w:rPr>
      </w:pPr>
      <w:r>
        <w:rPr>
          <w:caps w:val="false"/>
          <w:smallCaps w:val="false"/>
        </w:rPr>
        <w:t> </w:t>
      </w:r>
      <w:bookmarkStart w:id="414" w:name="xdx_8B2_zi9peu2HfU9c"/>
      <w:bookmarkEnd w:id="414"/>
      <w:r>
        <w:rPr>
          <w:rFonts w:ascii="Times New Roman;Times;Serif" w:hAnsi="Times New Roman;Times;Serif"/>
          <w:b w:val="false"/>
          <w:i w:val="false"/>
          <w:caps w:val="false"/>
          <w:smallCaps w:val="false"/>
          <w:sz w:val="20"/>
        </w:rPr>
        <w:t>SCHEDULE OF RESTRICTED STOCK UNIT</w:t>
      </w:r>
    </w:p>
    <w:tbl>
      <w:tblPr>
        <w:tblW w:w="7173" w:type="dxa"/>
        <w:jc w:val="left"/>
        <w:tblInd w:w="0" w:type="dxa"/>
        <w:tblLayout w:type="fixed"/>
        <w:tblCellMar>
          <w:top w:w="0" w:type="dxa"/>
          <w:left w:w="0" w:type="dxa"/>
          <w:bottom w:w="0" w:type="dxa"/>
          <w:right w:w="0" w:type="dxa"/>
        </w:tblCellMar>
      </w:tblPr>
      <w:tblGrid>
        <w:gridCol w:w="3845"/>
        <w:gridCol w:w="60"/>
        <w:gridCol w:w="78"/>
        <w:gridCol w:w="1051"/>
        <w:gridCol w:w="95"/>
        <w:gridCol w:w="60"/>
        <w:gridCol w:w="460"/>
        <w:gridCol w:w="1449"/>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w:t>
            </w:r>
          </w:p>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jc w:val="center"/>
              <w:rPr>
                <w:rFonts w:ascii="Times New Roman;Times;Serif" w:hAnsi="Times New Roman;Times;Serif"/>
                <w:b/>
              </w:rPr>
            </w:pPr>
            <w:r>
              <w:rPr>
                <w:rFonts w:ascii="Times New Roman;Times;Serif" w:hAnsi="Times New Roman;Times;Serif"/>
                <w:b/>
              </w:rPr>
              <w:t>Grant Date</w:t>
            </w:r>
          </w:p>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Nonvested at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415" w:name="xdx_989_eus-gaap--ShareBasedCompensation"/>
            <w:bookmarkEnd w:id="415"/>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381,414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6" w:name="xdx_986_eus-gaap--ShareBasedCompensation"/>
            <w:bookmarkEnd w:id="416"/>
          </w:p>
        </w:tc>
        <w:tc>
          <w:tcPr>
            <w:tcW w:w="14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417" w:name="xdx_98D_eus-gaap--ShareBasedCompensation"/>
            <w:bookmarkEnd w:id="417"/>
          </w:p>
        </w:tc>
        <w:tc>
          <w:tcPr>
            <w:tcW w:w="10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bookmarkStart w:id="418" w:name="xdx_980_eus-gaap--ShareBasedCompensation"/>
            <w:bookmarkEnd w:id="418"/>
          </w:p>
        </w:tc>
        <w:tc>
          <w:tcPr>
            <w:tcW w:w="14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419" w:name="xdx_985_eus-gaap--ShareBasedCompensation"/>
            <w:bookmarkEnd w:id="419"/>
          </w:p>
        </w:tc>
        <w:tc>
          <w:tcPr>
            <w:tcW w:w="10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(51,486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bookmarkStart w:id="420" w:name="xdx_98F_eus-gaap--ShareBasedCompensation"/>
            <w:bookmarkEnd w:id="420"/>
          </w:p>
        </w:tc>
        <w:tc>
          <w:tcPr>
            <w:tcW w:w="14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4.94</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21" w:name="xdx_988_eus-gaap--ShareBasedCompensation"/>
            <w:bookmarkEnd w:id="421"/>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bookmarkStart w:id="422" w:name="xdx_980_eus-gaap--ShareBasedCompensation"/>
            <w:bookmarkEnd w:id="422"/>
          </w:p>
        </w:tc>
        <w:tc>
          <w:tcPr>
            <w:tcW w:w="14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Nonvested at March 31, 2026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423" w:name="xdx_987_eus-gaap--ShareBasedCompensation"/>
            <w:bookmarkEnd w:id="423"/>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left"/>
              <w:rPr/>
            </w:pPr>
            <w:r>
              <w:rPr/>
              <w:t> </w:t>
            </w:r>
            <w:bookmarkStart w:id="424" w:name="xdx_985_eus-gaap--ShareBasedCompensation"/>
            <w:bookmarkEnd w:id="424"/>
          </w:p>
        </w:tc>
        <w:tc>
          <w:tcPr>
            <w:tcW w:w="14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not yet issued at March 31, 2026</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25" w:name="xdx_989_ecustom--ShareBasedCompensationA"/>
            <w:bookmarkEnd w:id="425"/>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left"/>
              <w:rPr/>
            </w:pPr>
            <w:r>
              <w:rPr/>
              <w:t> </w:t>
            </w:r>
            <w:bookmarkStart w:id="426" w:name="xdx_989_ecustom--ShareBasedCompensationA"/>
            <w:bookmarkEnd w:id="426"/>
          </w:p>
        </w:tc>
        <w:tc>
          <w:tcPr>
            <w:tcW w:w="14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w:t>
            </w:r>
          </w:p>
        </w:tc>
        <w:tc>
          <w:tcPr>
            <w:tcW w:w="75" w:type="dxa"/>
            <w:tcBorders/>
            <w:shd w:fill="FFFF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27" w:name="xdx_8A2_zfNWe9bUvfwf"/>
      <w:bookmarkEnd w:id="427"/>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RSUs granted and vested during the three months ended March 31, 2026 was approximately $</w:t>
      </w:r>
      <w:bookmarkStart w:id="428" w:name="xdx_907_ecustom--SharebasedCompensationA"/>
      <w:bookmarkEnd w:id="428"/>
      <w:r>
        <w:rPr>
          <w:rFonts w:ascii="Times New Roman;Times;Serif" w:hAnsi="Times New Roman;Times;Serif"/>
          <w:b w:val="false"/>
          <w:i w:val="false"/>
          <w:caps w:val="false"/>
          <w:smallCaps w:val="false"/>
          <w:sz w:val="20"/>
        </w:rPr>
        <w:t>0.2 million and $</w:t>
      </w:r>
      <w:bookmarkStart w:id="429" w:name="xdx_902_eus-gaap--SharebasedCompensation"/>
      <w:bookmarkEnd w:id="429"/>
      <w:r>
        <w:rPr>
          <w:rFonts w:ascii="Times New Roman;Times;Serif" w:hAnsi="Times New Roman;Times;Serif"/>
          <w:b w:val="false"/>
          <w:i w:val="false"/>
          <w:caps w:val="false"/>
          <w:smallCaps w:val="false"/>
          <w:sz w:val="20"/>
        </w:rPr>
        <w:t xml:space="preserve">0.2 million, respectively. There were </w:t>
      </w:r>
      <w:bookmarkStart w:id="430" w:name="xdx_90E_eus-gaap--SharebasedCompensation"/>
      <w:bookmarkStart w:id="431" w:name="xdx_90E_ecustom--SharebasedCompensationA"/>
      <w:bookmarkEnd w:id="430"/>
      <w:bookmarkEnd w:id="431"/>
      <w:r>
        <w:rPr>
          <w:rFonts w:ascii="Times New Roman;Times;Serif" w:hAnsi="Times New Roman;Times;Serif"/>
          <w:b w:val="false"/>
          <w:i w:val="false"/>
          <w:caps w:val="false"/>
          <w:smallCaps w:val="false"/>
          <w:sz w:val="20"/>
        </w:rPr>
        <w:t>no RSUs granted or vested during the three months ended March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Allocation of Stock-based Compensation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bookmarkStart w:id="432" w:name="xdx_898_eus-gaap--ScheduleOfEmployeeServ"/>
      <w:bookmarkEnd w:id="432"/>
      <w:r>
        <w:rPr>
          <w:rFonts w:ascii="Times New Roman;Times;Serif" w:hAnsi="Times New Roman;Times;Serif"/>
          <w:b w:val="false"/>
          <w:i w:val="false"/>
          <w:caps w:val="false"/>
          <w:smallCaps w:val="false"/>
          <w:sz w:val="20"/>
        </w:rPr>
        <w:t>The allocation of stock-based compensation expense was as follows (in thousands):</w:t>
      </w:r>
    </w:p>
    <w:p>
      <w:pPr>
        <w:pStyle w:val="TextBody"/>
        <w:pBdr/>
        <w:bidi w:val="0"/>
        <w:spacing w:before="0" w:after="0"/>
        <w:ind w:left="0" w:right="0" w:hanging="0"/>
        <w:jc w:val="both"/>
        <w:rPr>
          <w:caps w:val="false"/>
          <w:smallCaps w:val="false"/>
        </w:rPr>
      </w:pPr>
      <w:r>
        <w:rPr>
          <w:caps w:val="false"/>
          <w:smallCaps w:val="false"/>
        </w:rPr>
        <w:t> </w:t>
      </w:r>
      <w:bookmarkStart w:id="433" w:name="xdx_8BC_z9hSvrQm3ldb"/>
      <w:bookmarkEnd w:id="433"/>
      <w:r>
        <w:rPr>
          <w:rFonts w:ascii="Times New Roman;Times;Serif" w:hAnsi="Times New Roman;Times;Serif"/>
          <w:b w:val="false"/>
          <w:i w:val="false"/>
          <w:caps w:val="false"/>
          <w:smallCaps w:val="false"/>
          <w:sz w:val="20"/>
        </w:rPr>
        <w:t>SCHEDULE OF ALLOCATION OF STOCK-BASED COMPENSATION EXPENSE</w:t>
      </w:r>
    </w:p>
    <w:tbl>
      <w:tblPr>
        <w:tblW w:w="6338" w:type="dxa"/>
        <w:jc w:val="left"/>
        <w:tblInd w:w="0" w:type="dxa"/>
        <w:tblLayout w:type="fixed"/>
        <w:tblCellMar>
          <w:top w:w="0" w:type="dxa"/>
          <w:left w:w="0" w:type="dxa"/>
          <w:bottom w:w="0" w:type="dxa"/>
          <w:right w:w="0" w:type="dxa"/>
        </w:tblCellMar>
      </w:tblPr>
      <w:tblGrid>
        <w:gridCol w:w="3305"/>
        <w:gridCol w:w="60"/>
        <w:gridCol w:w="267"/>
        <w:gridCol w:w="1068"/>
        <w:gridCol w:w="114"/>
        <w:gridCol w:w="114"/>
        <w:gridCol w:w="267"/>
        <w:gridCol w:w="1068"/>
        <w:gridCol w:w="75"/>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4" w:name="xdx_492_20260101__20260331_zR7TQTXnHk57"/>
            <w:bookmarkEnd w:id="434"/>
          </w:p>
        </w:tc>
        <w:tc>
          <w:tcPr>
            <w:tcW w:w="1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435" w:name="xdx_49E_20250101__20250331_z9F2VqgZrXu"/>
            <w:bookmarkEnd w:id="435"/>
          </w:p>
        </w:tc>
        <w:tc>
          <w:tcPr>
            <w:tcW w:w="1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three months ended </w:t>
              <w:br/>
              <w:t>March 31,</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bookmarkStart w:id="436" w:name="xdx_40A_ecustom--AllocatedShareBasedComp"/>
            <w:bookmarkEnd w:id="436"/>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selling and administrative</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5,287</w:t>
            </w:r>
          </w:p>
        </w:tc>
        <w:tc>
          <w:tcPr>
            <w:tcW w:w="75" w:type="dxa"/>
            <w:tcBorders/>
            <w:shd w:fill="CCEEFF" w:val="clear"/>
            <w:vAlign w:val="center"/>
          </w:tcPr>
          <w:p>
            <w:pPr>
              <w:pStyle w:val="TableContents"/>
              <w:bidi w:val="0"/>
              <w:spacing w:before="0" w:after="283"/>
              <w:jc w:val="left"/>
              <w:rPr/>
            </w:pPr>
            <w:r>
              <w:rPr/>
              <w:t> </w:t>
            </w:r>
            <w:bookmarkStart w:id="437" w:name="xdx_40D_ecustom--AllocatedShareBasedComp"/>
            <w:bookmarkEnd w:id="437"/>
          </w:p>
        </w:tc>
      </w:tr>
      <w:tr>
        <w:trPr/>
        <w:tc>
          <w:tcPr>
            <w:tcW w:w="3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w:t>
            </w:r>
          </w:p>
        </w:tc>
        <w:tc>
          <w:tcPr>
            <w:tcW w:w="114"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2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w:t>
            </w:r>
          </w:p>
        </w:tc>
        <w:tc>
          <w:tcPr>
            <w:tcW w:w="75" w:type="dxa"/>
            <w:tcBorders/>
            <w:shd w:fill="FFFFFF" w:val="clear"/>
            <w:vAlign w:val="center"/>
          </w:tcPr>
          <w:p>
            <w:pPr>
              <w:pStyle w:val="TableContents"/>
              <w:bidi w:val="0"/>
              <w:spacing w:before="0" w:after="283"/>
              <w:jc w:val="left"/>
              <w:rPr/>
            </w:pPr>
            <w:r>
              <w:rPr/>
              <w:t> </w:t>
            </w:r>
            <w:bookmarkStart w:id="438" w:name="xdx_40F_eus-gaap--ShareBasedCompensation"/>
            <w:bookmarkEnd w:id="438"/>
          </w:p>
        </w:tc>
      </w:tr>
      <w:tr>
        <w:trPr/>
        <w:tc>
          <w:tcPr>
            <w:tcW w:w="3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stock-based compensation</w:t>
            </w:r>
          </w:p>
        </w:tc>
        <w:tc>
          <w:tcPr>
            <w:tcW w:w="60" w:type="dxa"/>
            <w:tcBorders/>
            <w:shd w:fill="CCEEFF" w:val="cle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3,356</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6,075</w:t>
            </w:r>
          </w:p>
        </w:tc>
        <w:tc>
          <w:tcPr>
            <w:tcW w:w="75" w:type="dxa"/>
            <w:tcBorders/>
            <w:shd w:fill="CCEEFF" w:val="cle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39" w:name="xdx_8AE_zfjSDIDdybt2"/>
      <w:bookmarkEnd w:id="439"/>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total unrecognized compensation cost related to outstanding time-based options was $</w:t>
      </w:r>
      <w:bookmarkStart w:id="440" w:name="xdx_90F_eus-gaap--EmployeeServiceShareBa"/>
      <w:bookmarkEnd w:id="440"/>
      <w:r>
        <w:rPr>
          <w:rFonts w:ascii="Times New Roman;Times;Serif" w:hAnsi="Times New Roman;Times;Serif"/>
          <w:b w:val="false"/>
          <w:i w:val="false"/>
          <w:caps w:val="false"/>
          <w:smallCaps w:val="false"/>
          <w:sz w:val="20"/>
        </w:rPr>
        <w:t xml:space="preserve">31 million, which is expected to be recognized over a weighted-average period of </w:t>
      </w:r>
      <w:bookmarkStart w:id="441" w:name="xdx_903_eus-gaap--EmployeeServiceShareBa"/>
      <w:bookmarkEnd w:id="441"/>
      <w:r>
        <w:rPr>
          <w:rFonts w:ascii="Times New Roman;Times;Serif" w:hAnsi="Times New Roman;Times;Serif"/>
          <w:b w:val="false"/>
          <w:i w:val="false"/>
          <w:caps w:val="false"/>
          <w:smallCaps w:val="false"/>
          <w:sz w:val="20"/>
        </w:rPr>
        <w:t>2.9 years.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42" w:name="xdx_806_eus-gaap--SubsequentEventsTextBl"/>
      <w:bookmarkEnd w:id="442"/>
      <w:r>
        <w:rPr>
          <w:rFonts w:ascii="Times New Roman;Times;Serif" w:hAnsi="Times New Roman;Times;Serif"/>
          <w:b/>
          <w:i w:val="false"/>
          <w:caps w:val="false"/>
          <w:smallCaps w:val="false"/>
          <w:sz w:val="20"/>
        </w:rPr>
        <w:t xml:space="preserve">NOTE 7 – </w:t>
      </w:r>
      <w:bookmarkStart w:id="443" w:name="xdx_827_zyx8y7CBBDp6"/>
      <w:bookmarkEnd w:id="443"/>
      <w:r>
        <w:rPr>
          <w:rFonts w:ascii="Times New Roman;Times;Serif" w:hAnsi="Times New Roman;Times;Serif"/>
          <w:b/>
          <w:i w:val="false"/>
          <w:caps w:val="false"/>
          <w:smallCaps w:val="false"/>
          <w:sz w:val="20"/>
        </w:rPr>
        <w:t>SUBSEQUENT EVENTS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from the balance sheet date of March 31, 2026, through May 13, 2026, the date these condensed consolidated financial statements were issued. Material events include:</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Zaptera Litigation Settlement</w:t>
      </w:r>
    </w:p>
    <w:p>
      <w:pPr>
        <w:pStyle w:val="TextBody"/>
        <w:bidi w:val="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8, 2026, the Company entered into a settlement agreement with Zaptera USA, Inc. Pursuant to the terms of the settlement, the Company agreed to issue </w:t>
      </w:r>
      <w:bookmarkStart w:id="444" w:name="xdx_90C_eus-gaap--StockIssuedDuringPerio"/>
      <w:bookmarkEnd w:id="444"/>
      <w:r>
        <w:rPr>
          <w:rFonts w:ascii="Times New Roman;Times;Serif" w:hAnsi="Times New Roman;Times;Serif"/>
          <w:b w:val="false"/>
          <w:i w:val="false"/>
          <w:caps w:val="false"/>
          <w:smallCaps w:val="false"/>
          <w:sz w:val="20"/>
        </w:rPr>
        <w:t xml:space="preserve">105,000 shares of Class B Common Stock and warrants to purchase up to </w:t>
      </w:r>
      <w:bookmarkStart w:id="445" w:name="xdx_900_eus-gaap--ClassOfWarrantOrRightO"/>
      <w:bookmarkEnd w:id="445"/>
      <w:r>
        <w:rPr>
          <w:rFonts w:ascii="Times New Roman;Times;Serif" w:hAnsi="Times New Roman;Times;Serif"/>
          <w:b w:val="false"/>
          <w:i w:val="false"/>
          <w:caps w:val="false"/>
          <w:smallCaps w:val="false"/>
          <w:sz w:val="20"/>
        </w:rPr>
        <w:t>210,000 shares of Class B Common Stock. The approximately $</w:t>
      </w:r>
      <w:bookmarkStart w:id="446" w:name="xdx_90A_eus-gaap--SettlementLiabilitiesC"/>
      <w:bookmarkEnd w:id="446"/>
      <w:r>
        <w:rPr>
          <w:rFonts w:ascii="Times New Roman;Times;Serif" w:hAnsi="Times New Roman;Times;Serif"/>
          <w:b w:val="false"/>
          <w:i w:val="false"/>
          <w:caps w:val="false"/>
          <w:smallCaps w:val="false"/>
          <w:sz w:val="20"/>
        </w:rPr>
        <w:t>0.6 million settlement expense was accrued in the three months ended March 31, 2026.</w:t>
      </w:r>
    </w:p>
    <w:p>
      <w:pPr>
        <w:pStyle w:val="TextBody"/>
        <w:pBdr/>
        <w:bidi w:val="0"/>
        <w:spacing w:before="0" w:after="0"/>
        <w:ind w:left="0" w:right="0" w:hanging="0"/>
        <w:jc w:val="both"/>
        <w:rPr>
          <w:caps w:val="false"/>
          <w:smallCaps w:val="false"/>
        </w:rPr>
      </w:pPr>
      <w:bookmarkStart w:id="447" w:name="xdx_814_zrjuOSgChBV7"/>
      <w:bookmarkEnd w:id="44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48" w:name="a_008"/>
      <w:bookmarkEnd w:id="44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this report (the “Quarterly Report”) to “we,” “us” or the “Company” refer to Aptera Motors Corp. References to our “management” or our “management team” refer to our officers and directors.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 for the year ended December 31, 2025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is a public benefit corporation and development stage company focused on the development and commercialization of solar electric vehicles. In October 2025, the Company completed a direct listing of its Class B common stock on The Nasdaq Capital Market.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commenced production or generated any revenue from the sale of its products. The accompanying consolidated financial statements have been prepared assuming the Company will continue as a going concern, which is dependent upon the Company obtaining additional financing and ultimately achieving profitable operations. To that end, in November 2025, we established an equity line of credit (“ELOC”) as a mechanism to incrementally access capital. We successfully utilized this ELOC between mid-November 2025 and January 2026 to raise approximately $3.0 million. Furthermore, during the first quarter of 2026, we successfully raised an aggregate of approximately $17.1 million in gross proceeds, consisting of $9.0 million from a follow-on public offering in January 2026 and an additional $8.1 million from subsequent warrant exercises, including a warrant inducement transaction completed in March 2026. This management’s discussion and analysis discusses the Company’s progress to date, its challenges, and its plans for the future, but should be read in conjunction with the consolidated financial statements and accompanying notes.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was formed as a Delaware corporation on March 4, 2019, and transitioned to a Delaware public benefit corporation in October 2025, for the purpose of engaging in the production of energy-efficient, solar-powered vehicles. We first began accepting $100 reservations for our vehicle in December 2020 and as of March 31, 2026, we had approximately 49,000 reservation holders. We conducted two promotional programs that allowed investors to reserve priority reservations for initial customer vehicles. Under the first program, which ran from January 2023 through January 2024, the initial 2,000 delivery positions were offered through an auction process, resulting in an average investment exceeding $20,000 per position. Under the second program, which was conducted from April to August 2025, an additional 1,000 delivery positions were made available to investors making minimum investments of $5,000. We have not delivered any products to customers and have not recognized any revenue from the sale of vehicles.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engaged with strategic partners to supply validated production parts, and we are currently executing our validation vehicle program. While we require substantial capital to commence commercial production, core physical assets—including our proprietary Body in Carbon (BinC) structural tooling and automated transport systems—are physically on-site and undergoing final engineering assessments. Alongside efforts to secure necessary financing, our current operational focus remains on completing this validation and durability testing process to ensure the reliability of our production-intent design. Our marketing team is expected to engage with the public to educate them on our brand proposition, expand our reservation backlog, and optimize our initial production mix. As a result of these activities, the Company expects to continue to experience increased spending on production equipment and tooling.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production timeline has evolved and remains heavily dependent on our ability to secure sufficient capital in substantial tranches. This shift to larger funding rounds is necessary to allow us to place large-scale purchase orders and fulfill supplier commitments for our finalized production tooling. Our production plan for our Carlsbad facility is phased. The initial “low-volume” production phase requires an estimated $45 million to $50 million in capital to fund the remaining necessary tooling and validation programs. Following the initiation of low-volume production, a second phase to ramp to high-volume production (a target rate of approximately 20,000 vehicles per year, which we believe is our current facility’s maximum capacity based on consultations with Munro &amp; Associates) would require an estimated additional $140 million to $160 million. Until the necessary funding for a given production phase is secured, we are unable to predict if and when that phase of production will commence, and our previously anticipated timelines are no longer indicative of our current expectations.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production also depends on key factors beyond funding, including: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Availability of resources:</w:t>
            </w:r>
            <w:r>
              <w:rPr>
                <w:rFonts w:ascii="Times New Roman;Times;Serif" w:hAnsi="Times New Roman;Times;Serif"/>
                <w:b w:val="false"/>
                <w:i w:val="false"/>
                <w:caps w:val="false"/>
                <w:smallCaps w:val="false"/>
                <w:sz w:val="20"/>
              </w:rPr>
              <w:t xml:space="preserve"> Production is contingent on the availability of materials, components, manufacturing facilities, and an uninterrupted supply chain.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Addressing technical challenges:</w:t>
            </w:r>
            <w:r>
              <w:rPr>
                <w:rFonts w:ascii="Times New Roman;Times;Serif" w:hAnsi="Times New Roman;Times;Serif"/>
                <w:b w:val="false"/>
                <w:i w:val="false"/>
                <w:caps w:val="false"/>
                <w:smallCaps w:val="false"/>
                <w:sz w:val="20"/>
              </w:rPr>
              <w:t xml:space="preserve"> We may encounter further technical challenges during our validation programs that require redesign, mechanical modification, or alternative sourcing of components.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Meeting regulatory requirements:</w:t>
            </w:r>
            <w:r>
              <w:rPr>
                <w:rFonts w:ascii="Times New Roman;Times;Serif" w:hAnsi="Times New Roman;Times;Serif"/>
                <w:b w:val="false"/>
                <w:i w:val="false"/>
                <w:caps w:val="false"/>
                <w:smallCaps w:val="false"/>
                <w:sz w:val="20"/>
              </w:rPr>
              <w:t xml:space="preserve"> We must meet all necessary safety and regulatory requirements to certify our vehicles.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experienced challenges in raising capital in the amounts needed to fully fund our operations, and we have faced production delays due to financial constraints, supply chain disruptions, technological challenges, and regulatory requirements. While we currently do not anticipate any major supply chain disruptions, changes in global trade policies, including the imposition of new tariffs or changes to existing tariffs, could impact the cost and availability of components and materials, potentially affecting our production timelines and profitability. We have experienced price fluctuations for vehicle components and labor in the past, which have led to increased costs and negatively affected our 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working to address these challenges through our direct listing, recent capital raises, and utilization of our ELOC (subject to lock-up periods and facility limitations). We will provide further updates on our progress as we achieve significant milestones. However, we cannot assure you that we will be successful in securing the remaining necessary funding, overcoming technical challenges, or meeting regulatory requirements on a timely basis, or at all.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General, Selling and Administrative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selling and administrative expenses consist of administrative, compliance, legal, investor relations, financial operations, and information technology services. They include related department salaries, office expenses, meals and entertainment costs, software/applications for operational use, and other general and administrative expenses, including but not limited to technology subscriptions and travel expenses. These expenses account for a significant portion of our operating expenses.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Research and Development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spend significant resources on engineering, tooling and design capabilities, which are classified as research and development expenses. Research and development expenses consist primarily of personnel costs, materials to build prototype and validation vehicles, specialized out-sourced engineering services, facilities and software licenses.</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results of operations for the three months ended March 31, 2026 and March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General, Sellin</w:t>
      </w:r>
      <w:r>
        <w:rPr>
          <w:rFonts w:ascii="Times New Roman;Times;Serif" w:hAnsi="Times New Roman;Times;Serif"/>
          <w:b w:val="false"/>
          <w:i/>
          <w:caps w:val="false"/>
          <w:smallCaps w:val="false"/>
          <w:sz w:val="20"/>
        </w:rPr>
        <w:t xml:space="preserve">g </w:t>
      </w:r>
      <w:r>
        <w:rPr>
          <w:rFonts w:ascii="Times New Roman;Times;Serif" w:hAnsi="Times New Roman;Times;Serif"/>
          <w:b w:val="false"/>
          <w:i/>
          <w:caps w:val="false"/>
          <w:smallCaps w:val="false"/>
          <w:sz w:val="20"/>
          <w:u w:val="single"/>
        </w:rPr>
        <w:t>and Administrative Expenses</w:t>
      </w:r>
    </w:p>
    <w:p>
      <w:pPr>
        <w:pStyle w:val="TextBody"/>
        <w:pBdr/>
        <w:bidi w:val="0"/>
        <w:spacing w:before="0" w:after="0"/>
        <w:ind w:left="0" w:right="0" w:hanging="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3545"/>
        <w:gridCol w:w="60"/>
        <w:gridCol w:w="257"/>
        <w:gridCol w:w="1029"/>
        <w:gridCol w:w="110"/>
        <w:gridCol w:w="110"/>
        <w:gridCol w:w="257"/>
        <w:gridCol w:w="1029"/>
        <w:gridCol w:w="110"/>
        <w:gridCol w:w="110"/>
        <w:gridCol w:w="257"/>
        <w:gridCol w:w="1167"/>
        <w:gridCol w:w="174"/>
        <w:gridCol w:w="110"/>
        <w:gridCol w:w="169"/>
        <w:gridCol w:w="946"/>
        <w:gridCol w:w="350"/>
      </w:tblGrid>
      <w:tr>
        <w:trPr/>
        <w:tc>
          <w:tcPr>
            <w:tcW w:w="3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3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March 31, (in thousands)</w:t>
            </w:r>
          </w:p>
        </w:tc>
        <w:tc>
          <w:tcPr>
            <w:tcW w:w="350"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1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35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(3,947</w:t>
            </w:r>
          </w:p>
        </w:tc>
        <w:tc>
          <w:tcPr>
            <w:tcW w:w="1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Corporate and overhead expenses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3,038</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2,619</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w:t>
            </w:r>
          </w:p>
        </w:tc>
        <w:tc>
          <w:tcPr>
            <w:tcW w:w="174"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3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4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74"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w:t>
            </w:r>
          </w:p>
        </w:tc>
        <w:tc>
          <w:tcPr>
            <w:tcW w:w="3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54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4,427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7,948</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(3,521</w:t>
            </w:r>
          </w:p>
        </w:tc>
        <w:tc>
          <w:tcPr>
            <w:tcW w:w="1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w:t>
            </w:r>
          </w:p>
        </w:tc>
        <w:tc>
          <w:tcPr>
            <w:tcW w:w="35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selling, general and administrative expenses was primarily driven by a $3.9 million net reduction in stock-based compensation. This consisted of a $4.8 million decrease in equity-based advisory fees issued to non-employees, partially offset by a $1.1 million increase in employee share-based compensation. Additionally, advertising and marketing expenditures decreased by $0.3 million, reflecting a targeted reallocation of capital toward vehicle validation and production readiness.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decreases were partially offset by a $0.4 million increase in costs associated with our transition to a publicly traded company, including compliance and directors’ and officers’ liability insurance premiums. Furthermore, legal expenses increased by $0.3 million, primarily associated with the accrued expenses from the April 2026 settlement of the Zaptera intellectual property matter and costs related to the ongoing SEC matter </w:t>
      </w:r>
      <w:r>
        <w:rPr>
          <w:rFonts w:ascii="Times New Roman;Times;Serif" w:hAnsi="Times New Roman;Times;Serif"/>
          <w:b w:val="false"/>
          <w:i/>
          <w:caps w:val="false"/>
          <w:smallCaps w:val="false"/>
          <w:sz w:val="20"/>
        </w:rPr>
        <w:t>(see Part II, Item 1. Legal Proceedings)</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tightly managed our administrative footprint by utilizing third-party consultants and outsourced professional services. As we transition toward final vehicle validation and commercial production, we expect to shift away from certain outsourced arrangements and bring more administrative and operational resources in-house on a full-time basis. To support this growth while prioritizing the allocation of cash toward production readiness, we have increasingly utilized equity-based remuneration. This includes a transition to settling all Board of Director compensation and executive bonuses in stock, as well as the broader use of long-term restricted stock unit awards. While we expect this strategy to preserve capital liquidity, it will result in elevated non-cash share-based compensation expense in future periods.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we anticipate that our baseline selling, general and administrative expenses will increase as we scale. Furthermore, we expect to incur sustained, incremental expenses related to operating as a public company, including elevated legal, accounting, insurance, and investor relations costs. Additionally, in connection with our ongoing efforts to remediate the material weakness in internal control over financial reporting identified at year-end, we expect to incur near-term increases in professional fees and personnel costs as we implement enhancements to our control environment.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Research and Development Expenses</w:t>
      </w:r>
    </w:p>
    <w:p>
      <w:pPr>
        <w:pStyle w:val="TextBody"/>
        <w:pBdr/>
        <w:bidi w:val="0"/>
        <w:spacing w:before="0" w:after="0"/>
        <w:ind w:left="0" w:right="0" w:hanging="0"/>
        <w:jc w:val="both"/>
        <w:rPr>
          <w:caps w:val="false"/>
          <w:smallCaps w:val="false"/>
        </w:rPr>
      </w:pPr>
      <w:r>
        <w:rPr>
          <w:caps w:val="false"/>
          <w:smallCaps w:val="false"/>
        </w:rPr>
        <w:t> </w:t>
      </w:r>
    </w:p>
    <w:tbl>
      <w:tblPr>
        <w:tblW w:w="9672" w:type="dxa"/>
        <w:jc w:val="left"/>
        <w:tblInd w:w="0" w:type="dxa"/>
        <w:tblLayout w:type="fixed"/>
        <w:tblCellMar>
          <w:top w:w="0" w:type="dxa"/>
          <w:left w:w="0" w:type="dxa"/>
          <w:bottom w:w="0" w:type="dxa"/>
          <w:right w:w="0" w:type="dxa"/>
        </w:tblCellMar>
      </w:tblPr>
      <w:tblGrid>
        <w:gridCol w:w="3605"/>
        <w:gridCol w:w="60"/>
        <w:gridCol w:w="263"/>
        <w:gridCol w:w="1052"/>
        <w:gridCol w:w="112"/>
        <w:gridCol w:w="112"/>
        <w:gridCol w:w="263"/>
        <w:gridCol w:w="1052"/>
        <w:gridCol w:w="112"/>
        <w:gridCol w:w="112"/>
        <w:gridCol w:w="263"/>
        <w:gridCol w:w="1052"/>
        <w:gridCol w:w="112"/>
        <w:gridCol w:w="112"/>
        <w:gridCol w:w="152"/>
        <w:gridCol w:w="963"/>
        <w:gridCol w:w="275"/>
      </w:tblGrid>
      <w:tr>
        <w:trPr/>
        <w:tc>
          <w:tcPr>
            <w:tcW w:w="3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32"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 March 31, (in thousands)</w:t>
            </w:r>
          </w:p>
        </w:tc>
        <w:tc>
          <w:tcPr>
            <w:tcW w:w="2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 thousands)</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Change</w:t>
            </w:r>
          </w:p>
        </w:tc>
        <w:tc>
          <w:tcPr>
            <w:tcW w:w="2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Engineering, design and development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Stock-based compensation</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27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60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Research and Development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5,905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3,214</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2,690</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w:t>
            </w:r>
          </w:p>
        </w:tc>
        <w:tc>
          <w:tcPr>
            <w:tcW w:w="27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research and development expenses was primarily driven by higher stock-based compensation expense, which increased $1.2 million. We strategically used equity-based compensation—including stock-settled bonus payments and long-term restricted stock unit (RSU) awards—in lieu of cash, designed to preserve our capital liquidity while remaining highly competitive in talent acquisition and retention.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engineering, design, and development expenses accounted for the remainder of the variance. This was primarily driven by a $0.7 million increase in cash personnel costs resulting from strategic engineering headcount additions to support our vehicle validation and production program. Additionally, materials and supplies expense related to validation testing increased by $0.5 million, alongside a $0.2 million aggregate increase in engineering software licenses, computer equipment, and third-party contractors necessary to equip the expanded team. These increases were partially offset by a $0.04 million decrease in prototype tooling expenses, reflecting the maturation of our design phase.</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advance toward commercial production, our overarching objective is to allocate the maximum amount of available capital directly to vehicle validation, safety testing, and production readiness. To support this objective while protecting our liquidity, we expect to continue utilizing equity-based compensation as a core component of our remuneration strategy for engineering and technical staff. We anticipate that our baseline research and development expenses will remain elevated in the near term as we finalize pre-production milestones. Upon the commencement of commercial production, we expect certain engineering and manufacturing personnel costs to be capitalized into inventory and subsequently recognized as cost of goods sold.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Other Income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was $0.1 million for the three months ended March 31, 2026, compared to $0.3 million for the three months ended March 31, 2025. The decrease of $0.2 million was primarily due to lower grant reimbursement income from our California Energy Commission grant.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Net Loss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the Company’s net loss for the three months ended March 31, 2026 was $10.2 million compared to $10.9 million for the three months ended March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$39.0 million in total assets. Our primary source of liquidity at that date was $17.7 million in cash and cash equivalents. We did not have a recognized grant funds receivable balance as of March 31, 2026, as management maintains a full allowance against the remaining $0.7 million balance due to uncertainties regarding the timing of the capital raises required to trigger those reimbursements.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baseline operational cash burn rate, covering essential personnel, ongoing regulatory compliance, and fixed costs, is approximately $1.7 to $2.0 million per month. This baseline burn rate remained elevated during the first quarter of 2026 due to significant expenses associated with operating as a publicly traded company, costs related to our Class B common stock offerings, and legal and other professional fees related to the SEC Investigation and the Zaptera settlement. Such costs are difficult to predict with certainty but are expected to continue to be material in the near term.</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cash and cash equivalents are not sufficient to fund our baseline operations for the next twelve months, nor are they sufficient to advance our vehicle production business plan. These factors continue to raise substantial doubt about our ability to continue as a going concern.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to address the Company’s liquidity needs and fund operations over the next twelve months relies primarily on accessing capital through the ELOC and potentially through other public market financings.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net cash used in operating activities was $7.9 million, compared to $3.6 million for the same period in 2025. This increase in operating cash usage was driven not only by the elevated professional fees noted above, but primarily by strategic cash investments in parts, materials, and supplies necessary to advance our vehicle validation and production readiness, as well as a reduction in accounts payable.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fund these operations and investments, net cash provided by financing activities was $16.0 million during the first quarter of 2026. This was the result of two key financing transactions. On January 26, 2026, we closed a registered public offering, issuing 4,500,000 units (each consisting of one share of Class B common stock and one accompanying warrant) for gross proceeds of $9.0 million. Furthermore, we received an additional $8.1 million in aggregate gross proceeds from warrant exercises during the quarter, which included a $6.3 million warrant inducement transaction completed in March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require an additional $45 million to $50 million to complete vehicle validation and prepare for low-volume production—including increased spending on engineering, validation, testing, production tooling, and the hiring of additional sales, marketing, and administrative personnel. We expect that the associated work would take approximately 12 months to complete from the time such capital is fully secured. While the commencement of the 12 month final production timeline requires securing this capital in substantial tranches, we are proactively deploying current liquidity to procure critical long-lead components and advance validation milestones to compress this timeline where possible. The ELOC provides a potential mechanism to access capital incrementally, subject to the conditions and limitations previously described. Our ability to effectively utilize the ELOC is highly dependent on the trading volume and market price of our Class B common stock.</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additional source of potential near-term liquidity, of our total outstanding warrants as of March 31, 2026, approximately 5.2 million are exercisable for cash. If these specific warrants are fully exercised, they would generate up to $17.5 million in additional gross proceeds. This includes 4.75 million warrants issued in connection with our March 2026 inducement transaction which have exercise prices of $3.50. While these warrants represent a meaningful potential cash catalyst, any future proceeds are entirely dependent upon the holders’ discretionary election to exercise, which is inherently tied to the market performance of our Class B common stock.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awarded $21.9 million grant from the CEC remains a component of our potential future liquidity. Through March 31, 2026, we have received approximately $3.2 million in cash disbursements. We anticipate receiving further portions of the grant only if we are able to secure sufficient financing to make the eligible expenditures and meet the project milestones.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Long-Term Cash Requirements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our immediate capital needs to commence low-volume production, our long-term business plan requires us to raise substantial additional capital for future growth and operational expansion. Our material cash requirements beyond the next 12 months are expected to include, but are not limited to, the following:</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Scaling to High-Volume Production:</w:t>
            </w:r>
            <w:r>
              <w:rPr>
                <w:rFonts w:ascii="Times New Roman;Times;Serif" w:hAnsi="Times New Roman;Times;Serif"/>
                <w:b w:val="false"/>
                <w:i w:val="false"/>
                <w:caps w:val="false"/>
                <w:smallCaps w:val="false"/>
                <w:sz w:val="20"/>
              </w:rPr>
              <w:t xml:space="preserve"> We estimate needing $140 million to $160 million to fully equip our current Carlsbad facility and scale our manufacturing process to achieve our high-volume production target of 20,000 vehicles per year. This includes significant investment in additional automation, assembly line equipment, and quality control systems and is in addition to the $45 million to $50 million necessary to fund the remaining tooling and validation programs mentioned above.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Future Manufacturing Capacity:</w:t>
            </w:r>
            <w:r>
              <w:rPr>
                <w:rFonts w:ascii="Times New Roman;Times;Serif" w:hAnsi="Times New Roman;Times;Serif"/>
                <w:b w:val="false"/>
                <w:i w:val="false"/>
                <w:caps w:val="false"/>
                <w:smallCaps w:val="false"/>
                <w:sz w:val="20"/>
              </w:rPr>
              <w:t xml:space="preserve"> To meet our longer-term production targets that exceed the capacity of our current facility, we expect to require additional manufacturing capacity. This may involve securing or constructing new, larger facilities, which would represent a material future capital expenditure, the cost and timing of which has not yet been determined.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Expansion of Sales and Service Infrastructure:</w:t>
            </w:r>
            <w:r>
              <w:rPr>
                <w:rFonts w:ascii="Times New Roman;Times;Serif" w:hAnsi="Times New Roman;Times;Serif"/>
                <w:b w:val="false"/>
                <w:i w:val="false"/>
                <w:caps w:val="false"/>
                <w:smallCaps w:val="false"/>
                <w:sz w:val="20"/>
              </w:rPr>
              <w:t xml:space="preserve"> Our anticipated direct-to-consumer model will require significant investment to scale nationally. We expect to need to fund the establishment of regional pre-delivery and service centers, as well as expand our fleet of mobile service vehicles to support our customers and/or form relationships with third party vendors to provide this level of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w:t>
            </w:r>
            <w:r>
              <w:rPr>
                <w:rFonts w:ascii="Times New Roman;Times;Serif" w:hAnsi="Times New Roman;Times;Serif"/>
                <w:b w:val="false"/>
                <w:i w:val="false"/>
                <w:caps w:val="false"/>
                <w:smallCaps w:val="false"/>
                <w:sz w:val="20"/>
              </w:rPr>
              <w:t xml:space="preserve"> To maintain our competitive advantage, we intend to continue investing in research and development. This includes developing future vehicle models, enhancing our proprietary solar and battery technology, and exploring other applications for our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Working Capital:</w:t>
            </w:r>
            <w:r>
              <w:rPr>
                <w:rFonts w:ascii="Times New Roman;Times;Serif" w:hAnsi="Times New Roman;Times;Serif"/>
                <w:b w:val="false"/>
                <w:i w:val="false"/>
                <w:caps w:val="false"/>
                <w:smallCaps w:val="false"/>
                <w:sz w:val="20"/>
              </w:rPr>
              <w:t xml:space="preserve"> As we begin and scale production, our need for working capital is expected to increase significantly. The cash required to fund raw materials, work-in-process, and finished goods inventory is expected to increase substantially as our production volume grows.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Public Company Costs:</w:t>
            </w:r>
            <w:r>
              <w:rPr>
                <w:rFonts w:ascii="Times New Roman;Times;Serif" w:hAnsi="Times New Roman;Times;Serif"/>
                <w:b w:val="false"/>
                <w:i w:val="false"/>
                <w:caps w:val="false"/>
                <w:smallCaps w:val="false"/>
                <w:sz w:val="20"/>
              </w:rPr>
              <w:t xml:space="preserve"> We expect to continue to incur significant legal, accounting, and other expenses as a public company that we did not incur as a private company.</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these long-term requirements is dependent upon our ability to successfully utilize the ELOC, raise substantial additional capital through future equity or debt financings, and there can be no assurance that the ELOC will provide sufficient capital or that other financing will be available on favorable terms, or at all. Failure to obtain sufficient funding would materially adversely affect our business plan and our ability to continue as a going concern.</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total liabilities were $9.3 million. Major existing liabilities include $2.3 million in accrued liabilities, $4.1 million in unearned reservation fees, and $2.3 million in operating lease liabilities.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 and Contingencies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leased approximately 77,000 square feet of office, manufacturing and assembly space at our principal facility in Carlsbad, California under an operating lease agreement that expires March 31, 2028. For the three months ended March 31, 2026, we recorded $0.3 million of lease expense.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Orders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enter into purchase obligations with vendors and service providers, which represent expected payments and commitments during the normal course of our business. These purchase obligations are generally cancellable with or without notice and without penalty, although certain vendor agreements provide for cancellation fees or penalties. As of March 31, 2026, we had approximately $2.2 million in open purchase orders.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and Regulation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aspects of our business and service areas are subject to U.S. federal, state, and local regulation, as well as regulation outside the United States.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Quarterly Report, the Company is responding to a subpoena related to an ongoing SEC Investigation and recently settled a pending lawsuit with Zaptera, as described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Zaptera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Zaptera USA, Inc. (“Zaptera”) filed a complaint against Aptera Motors Corp. in the U.S. District Court for the Southern District of California alleging design patent infringement, misappropriation of trade secrets, and declaratory judgment of patent ownership, among other claims.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settlement agreement with Zaptera. Pursuant to the terms of the settlement, the Company agreed to issue 105,000 shares of Class B Common Stock and warrants to purchase up to 210,000 shares of Class B Common Stock, resulting in a recognized litigation settlement charge of approximately $0.6 million. On April 9, 2026, all claims related to the action were dismissed with prejudice.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 Investigation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received a subpoena for documents from the staff of the SEC related to our securities offerings and the production, design, and manufacture of our vehicles (the “SEC Investigation”). This subpoena is part of the ongoing SEC Investigation. We are cooperating fully with the investigation and are producing documents in response to the subpoena.</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informed us that the investigation does not mean that it has concluded that anyone has violated the law and that the receipt of the subpoena does not mean that the SEC has a negative opinion of any person, entity, or security. However, we cannot provide any assurances as to the outcome of this investigation or its potential effect, if any, on our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49" w:name="a_009"/>
      <w:bookmarkEnd w:id="449"/>
      <w:r>
        <w:rPr>
          <w:rFonts w:ascii="Times New Roman;Times;Serif" w:hAnsi="Times New Roman;Times;Serif"/>
          <w:b/>
          <w:i w:val="false"/>
          <w:caps w:val="false"/>
          <w:smallCaps w:val="false"/>
          <w:sz w:val="20"/>
        </w:rPr>
        <w:t>Item 3. Quantitative and Qualitative Disclosures About Market Risk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under this Item.</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0" w:name="a_010"/>
      <w:bookmarkEnd w:id="450"/>
      <w:r>
        <w:rPr>
          <w:rFonts w:ascii="Times New Roman;Times;Serif" w:hAnsi="Times New Roman;Times;Serif"/>
          <w:b/>
          <w:i w:val="false"/>
          <w:caps w:val="false"/>
          <w:smallCaps w:val="false"/>
          <w:sz w:val="20"/>
        </w:rPr>
        <w:t>Item 4.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(together, the “Certifying Officers”), or persons performing similar functions, as appropriate, to allow timely decisions regarding required disclosure.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Certifying Officers have concluded that our disclosure controls and procedures were not effective as of March 31, 2026, due to the material weaknesses in internal control over financial reporting described below.</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our annual report on Form 10-K for the year ended December 31, 2025, we identified two material weaknesses in our internal control over financial reporting (“ICFR”):</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Accounting for stock-based compensation</w:t>
            </w:r>
            <w:r>
              <w:rPr>
                <w:rFonts w:ascii="Times New Roman;Times;Serif" w:hAnsi="Times New Roman;Times;Serif"/>
                <w:b w:val="false"/>
                <w:i w:val="false"/>
                <w:caps w:val="false"/>
                <w:smallCaps w:val="false"/>
                <w:sz w:val="20"/>
              </w:rPr>
              <w:t xml:space="preserve"> – deficiencies in the review, approval, and accounting for stock option modifications, which resulted in a restatement of our 2023 financial statements;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Lack of formalized accounting and financial reporting policies and procedures</w:t>
            </w:r>
            <w:r>
              <w:rPr>
                <w:rFonts w:ascii="Times New Roman;Times;Serif" w:hAnsi="Times New Roman;Times;Serif"/>
                <w:b w:val="false"/>
                <w:i w:val="false"/>
                <w:caps w:val="false"/>
                <w:smallCaps w:val="false"/>
                <w:sz w:val="20"/>
              </w:rPr>
              <w:t>, which contributed to inconsistent policy application and limited segregation of duties.</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continued implementing our remediation plans to address these material weaknesses. Actions taken to date include:</w:t>
      </w:r>
    </w:p>
    <w:p>
      <w:pPr>
        <w:pStyle w:val="TextBody"/>
        <w:pBdr/>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formalizing management and Board-level review and approval controls for all stock-based compensation modifications;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beginning implementation of a comprehensive accounting policies and procedures manual;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enhancing segregation of duties and management review processes within the finance function.</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significant progress has been made, management has not yet completed testing of the operating effectiveness of these new and enhanced controls. Accordingly, the material weaknesses have not been fully remediated, and our disclosure controls and procedures remain not effective as of March 31, 2026. We expect remediation efforts to continue through 2026 as we prepare for management’s first required assessment of ICFR effectiveness under Section 404(a) of the Sarbanes-Oxley Act for the fiscal year ending December 31,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or all instances of fraud. Disclosure controls and procedures, no matter how well conceived and operated, can provide only reasonable, not absolute, assurance that the objectives of such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system can provide absolute assurance that all control deficiencies and instances of fraud, if any, have been detected.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efforts described above, there were no changes in our internal control over financial reporting during the quarter ended March 31, 2026, that have materially affected, or are reasonably likely to materially affect, our internal control over financial reporting.</w:t>
      </w:r>
    </w:p>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451" w:name="a_011"/>
      <w:bookmarkEnd w:id="451"/>
      <w:r>
        <w:rPr>
          <w:rFonts w:ascii="Times New Roman;Times;Serif" w:hAnsi="Times New Roman;Times;Serif"/>
          <w:b/>
          <w:i w:val="false"/>
          <w:caps w:val="false"/>
          <w:smallCaps w:val="false"/>
          <w:sz w:val="20"/>
        </w:rPr>
        <w:t>PART II - OTHER INFORMATION</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2" w:name="a_012"/>
      <w:bookmarkEnd w:id="452"/>
      <w:r>
        <w:rPr>
          <w:rFonts w:ascii="Times New Roman;Times;Serif" w:hAnsi="Times New Roman;Times;Serif"/>
          <w:b/>
          <w:i w:val="false"/>
          <w:caps w:val="false"/>
          <w:smallCaps w:val="false"/>
          <w:sz w:val="20"/>
        </w:rPr>
        <w:t>Item 1. Legal Proceedings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might become involved in lawsuits, claims, investigations, proceedings, and threats of litigation relating to intellectual property, commercial arrangements and other matters arising in the ordinary course of our business. For information on our litigation matters, see “Litigation and Regulation” under Note 3 of the Notes to Financial Statements included in Part I, Item 1 of this Quarterly Report on Form 10-Q, which is incorporated by reference herein.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3" w:name="a_013"/>
      <w:bookmarkEnd w:id="453"/>
      <w:r>
        <w:rPr>
          <w:rFonts w:ascii="Times New Roman;Times;Serif" w:hAnsi="Times New Roman;Times;Serif"/>
          <w:b/>
          <w:i w:val="false"/>
          <w:caps w:val="false"/>
          <w:smallCaps w:val="false"/>
          <w:sz w:val="20"/>
        </w:rPr>
        <w:t>Item 1A. Risk Factors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in this Quarterly Report include the risk factors described in our annual report on Form 10-K for the year ended December 31, 2025. As of the date of this Quarterly Report, there have been no material changes to the risk factors disclosed in our annual report on Form 10-K for the year ended December 31, 2025.</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4" w:name="a_014"/>
      <w:bookmarkEnd w:id="454"/>
      <w:r>
        <w:rPr>
          <w:rFonts w:ascii="Times New Roman;Times;Serif" w:hAnsi="Times New Roman;Times;Serif"/>
          <w:b/>
          <w:i w:val="false"/>
          <w:caps w:val="false"/>
          <w:smallCaps w:val="false"/>
          <w:sz w:val="20"/>
        </w:rPr>
        <w:t>Item 2. Unregistered Sales of Equity Securities and Use of Proceeds.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Unregistered Sales of Equity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5" w:name="a_015"/>
      <w:bookmarkEnd w:id="455"/>
      <w:r>
        <w:rPr>
          <w:rFonts w:ascii="Times New Roman;Times;Serif" w:hAnsi="Times New Roman;Times;Serif"/>
          <w:b/>
          <w:i w:val="false"/>
          <w:caps w:val="false"/>
          <w:smallCaps w:val="false"/>
          <w:sz w:val="20"/>
        </w:rPr>
        <w:t>Item 3. Defaults Upon Senior Securities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6" w:name="a_016"/>
      <w:bookmarkEnd w:id="456"/>
      <w:r>
        <w:rPr>
          <w:rFonts w:ascii="Times New Roman;Times;Serif" w:hAnsi="Times New Roman;Times;Serif"/>
          <w:b/>
          <w:i w:val="false"/>
          <w:caps w:val="false"/>
          <w:smallCaps w:val="false"/>
          <w:sz w:val="20"/>
        </w:rPr>
        <w:t>Item 4. Mine Safety Disclosures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7" w:name="a_017"/>
      <w:bookmarkEnd w:id="457"/>
      <w:r>
        <w:rPr>
          <w:rFonts w:ascii="Times New Roman;Times;Serif" w:hAnsi="Times New Roman;Times;Serif"/>
          <w:b/>
          <w:i w:val="false"/>
          <w:caps w:val="false"/>
          <w:smallCaps w:val="false"/>
          <w:sz w:val="20"/>
        </w:rPr>
        <w:t>Item 5. Other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Annual Report on Form 10-K for the fiscal year ended December 31, 2025 (the “2025 Form 10-K”), certain equity awards were granted to our named executive officers during fiscal year 2025 and were discussed in the narrative disclosure and summary compensation table accompanying the “Executive Compensation” section of the 2025 Form 10-K. However, certain awards were inadvertently omitted from the “Outstanding Equity Awards at 2025 Fiscal Year-End” table included therein.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providing the corrected “Outstanding Equity Awards at 2025 Fiscal Year-End” table below to reflect the complete outstanding equity award holdings of each named executive officer as of December 31, 2025. Other than the inclusion of the previously omitted awards, no changes have been made to the table or to any other disclosures in the 2025 Form 10-K. All other information previously reported in the 2025 Form 10-K, including the summary compensation table and narrative discussion of these awards, remains accurate and unchanged.</w:t>
      </w:r>
    </w:p>
    <w:p>
      <w:pPr>
        <w:pStyle w:val="TextBody"/>
        <w:pBdr/>
        <w:bidi w:val="0"/>
        <w:spacing w:before="0" w:after="0"/>
        <w:ind w:left="0" w:right="0" w:hanging="0"/>
        <w:jc w:val="both"/>
        <w:rPr>
          <w:caps w:val="false"/>
          <w:smallCaps w:val="false"/>
        </w:rPr>
      </w:pPr>
      <w:r>
        <w:rPr>
          <w:caps w:val="false"/>
          <w:smallCaps w:val="false"/>
        </w:rPr>
        <w:t> </w:t>
      </w:r>
    </w:p>
    <w:tbl>
      <w:tblPr>
        <w:tblW w:w="10925" w:type="dxa"/>
        <w:jc w:val="left"/>
        <w:tblInd w:w="0" w:type="dxa"/>
        <w:tblLayout w:type="fixed"/>
        <w:tblCellMar>
          <w:top w:w="0" w:type="dxa"/>
          <w:left w:w="0" w:type="dxa"/>
          <w:bottom w:w="28" w:type="dxa"/>
          <w:right w:w="0" w:type="dxa"/>
        </w:tblCellMar>
      </w:tblPr>
      <w:tblGrid>
        <w:gridCol w:w="980"/>
        <w:gridCol w:w="60"/>
        <w:gridCol w:w="635"/>
        <w:gridCol w:w="60"/>
        <w:gridCol w:w="111"/>
        <w:gridCol w:w="1484"/>
        <w:gridCol w:w="60"/>
        <w:gridCol w:w="60"/>
        <w:gridCol w:w="85"/>
        <w:gridCol w:w="1135"/>
        <w:gridCol w:w="60"/>
        <w:gridCol w:w="60"/>
        <w:gridCol w:w="163"/>
        <w:gridCol w:w="652"/>
        <w:gridCol w:w="60"/>
        <w:gridCol w:w="60"/>
        <w:gridCol w:w="1055"/>
        <w:gridCol w:w="60"/>
        <w:gridCol w:w="164"/>
        <w:gridCol w:w="711"/>
        <w:gridCol w:w="60"/>
        <w:gridCol w:w="60"/>
        <w:gridCol w:w="147"/>
        <w:gridCol w:w="638"/>
        <w:gridCol w:w="60"/>
        <w:gridCol w:w="60"/>
        <w:gridCol w:w="186"/>
        <w:gridCol w:w="809"/>
        <w:gridCol w:w="60"/>
        <w:gridCol w:w="60"/>
        <w:gridCol w:w="186"/>
        <w:gridCol w:w="809"/>
        <w:gridCol w:w="75"/>
      </w:tblGrid>
      <w:tr>
        <w:trPr/>
        <w:tc>
          <w:tcPr>
            <w:tcW w:w="98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635" w:type="dxa"/>
            <w:tcBorders>
              <w:bottom w:val="single" w:sz="8"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center"/>
              <w:rPr/>
            </w:pPr>
            <w:r>
              <w:rPr/>
              <w:t> </w:t>
            </w:r>
          </w:p>
        </w:tc>
        <w:tc>
          <w:tcPr>
            <w:tcW w:w="1595" w:type="dxa"/>
            <w:gridSpan w:val="2"/>
            <w:tcBorders>
              <w:bottom w:val="single" w:sz="8" w:space="0" w:color="000000"/>
            </w:tcBorders>
            <w:vAlign w:val="center"/>
          </w:tcPr>
          <w:p>
            <w:pPr>
              <w:pStyle w:val="TableContents"/>
              <w:bidi w:val="0"/>
              <w:spacing w:before="0" w:after="283"/>
              <w:jc w:val="center"/>
              <w:rPr>
                <w:b/>
              </w:rPr>
            </w:pPr>
            <w:r>
              <w:rPr>
                <w:b/>
              </w:rPr>
              <w:t>Number of securities underlying unexercised options - (#) 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gridSpan w:val="2"/>
            <w:tcBorders>
              <w:bottom w:val="single" w:sz="8" w:space="0" w:color="000000"/>
            </w:tcBorders>
            <w:vAlign w:val="center"/>
          </w:tcPr>
          <w:p>
            <w:pPr>
              <w:pStyle w:val="TableContents"/>
              <w:bidi w:val="0"/>
              <w:spacing w:before="0" w:after="283"/>
              <w:jc w:val="center"/>
              <w:rPr>
                <w:b/>
              </w:rPr>
            </w:pPr>
            <w:r>
              <w:rPr>
                <w:b/>
              </w:rPr>
              <w:t>Equity incentive plan awards: number of securities underlying unexercised unearned options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Option exercise price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55" w:type="dxa"/>
            <w:tcBorders>
              <w:bottom w:val="single" w:sz="8" w:space="0" w:color="000000"/>
            </w:tcBorders>
            <w:vAlign w:val="center"/>
          </w:tcPr>
          <w:p>
            <w:pPr>
              <w:pStyle w:val="TableContents"/>
              <w:bidi w:val="0"/>
              <w:spacing w:before="0" w:after="283"/>
              <w:jc w:val="center"/>
              <w:rPr>
                <w:b/>
              </w:rPr>
            </w:pPr>
            <w:r>
              <w:rPr>
                <w:b/>
              </w:rPr>
              <w:t>Option expiration date</w:t>
            </w:r>
          </w:p>
        </w:tc>
        <w:tc>
          <w:tcPr>
            <w:tcW w:w="60" w:type="dxa"/>
            <w:tcBorders/>
            <w:tcMar>
              <w:bottom w:w="0" w:type="dxa"/>
            </w:tcMar>
            <w:vAlign w:val="center"/>
          </w:tcPr>
          <w:p>
            <w:pPr>
              <w:pStyle w:val="TableContents"/>
              <w:bidi w:val="0"/>
              <w:spacing w:before="0" w:after="283"/>
              <w:jc w:val="center"/>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Number of shares or units of stock that have not vested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85" w:type="dxa"/>
            <w:gridSpan w:val="2"/>
            <w:tcBorders>
              <w:bottom w:val="single" w:sz="8" w:space="0" w:color="000000"/>
            </w:tcBorders>
            <w:vAlign w:val="center"/>
          </w:tcPr>
          <w:p>
            <w:pPr>
              <w:pStyle w:val="TableContents"/>
              <w:bidi w:val="0"/>
              <w:spacing w:before="0" w:after="283"/>
              <w:jc w:val="center"/>
              <w:rPr>
                <w:b/>
              </w:rPr>
            </w:pPr>
            <w:r>
              <w:rPr>
                <w:b/>
              </w:rPr>
              <w:t>Market value of shares or units of stock that have not vested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Equity incentive plan awards: number of unearned shares, units or other rights that have not vested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5" w:type="dxa"/>
            <w:gridSpan w:val="2"/>
            <w:tcBorders>
              <w:bottom w:val="single" w:sz="8" w:space="0" w:color="000000"/>
            </w:tcBorders>
            <w:vAlign w:val="center"/>
          </w:tcPr>
          <w:p>
            <w:pPr>
              <w:pStyle w:val="TableContents"/>
              <w:bidi w:val="0"/>
              <w:spacing w:before="0" w:after="283"/>
              <w:jc w:val="center"/>
              <w:rPr>
                <w:b/>
              </w:rPr>
            </w:pPr>
            <w:r>
              <w:rPr>
                <w:b/>
              </w:rPr>
              <w:t>Equity incentive plan awards: market or payout value of unearned shares, units or other rights that have not vested ($)</w:t>
            </w:r>
          </w:p>
        </w:tc>
        <w:tc>
          <w:tcPr>
            <w:tcW w:w="75" w:type="dxa"/>
            <w:tcBorders/>
            <w:tcMar>
              <w:bottom w:w="0" w:type="dxa"/>
            </w:tcMar>
            <w:vAlign w:val="center"/>
          </w:tcPr>
          <w:p>
            <w:pPr>
              <w:pStyle w:val="TableContents"/>
              <w:bidi w:val="0"/>
              <w:spacing w:before="0" w:after="283"/>
              <w:jc w:val="center"/>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xml:space="preserve">Chris Anthony, Co- </w:t>
              <w:br/>
              <w:t xml:space="preserve">Chief Executive </w:t>
              <w:br/>
              <w:t>Officer and Interim</w:t>
              <w:br/>
              <w:t>Chief Financial</w:t>
              <w:br/>
              <w:t>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7/28/21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180,000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11.40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7/28/31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12/30/25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433,813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12/30/35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left"/>
              <w:rPr/>
            </w:pPr>
            <w:r>
              <w:rPr/>
              <w:t>Steve Fambro, Co-</w:t>
              <w:br/>
              <w:t>Chief Executive</w:t>
              <w:br/>
              <w:t>Officer and Secretary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7/28/21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84" w:type="dxa"/>
            <w:tcBorders/>
            <w:shd w:fill="FFFFFF" w:val="clear"/>
            <w:tcMar>
              <w:bottom w:w="0" w:type="dxa"/>
            </w:tcMar>
            <w:vAlign w:val="center"/>
          </w:tcPr>
          <w:p>
            <w:pPr>
              <w:pStyle w:val="TableContents"/>
              <w:bidi w:val="0"/>
              <w:spacing w:before="0" w:after="283"/>
              <w:jc w:val="right"/>
              <w:rPr/>
            </w:pPr>
            <w:r>
              <w:rPr/>
              <w:t>180,000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652" w:type="dxa"/>
            <w:tcBorders/>
            <w:shd w:fill="FFFFFF" w:val="clear"/>
            <w:tcMar>
              <w:bottom w:w="0" w:type="dxa"/>
            </w:tcMar>
            <w:vAlign w:val="center"/>
          </w:tcPr>
          <w:p>
            <w:pPr>
              <w:pStyle w:val="TableContents"/>
              <w:bidi w:val="0"/>
              <w:spacing w:before="0" w:after="283"/>
              <w:jc w:val="right"/>
              <w:rPr/>
            </w:pPr>
            <w:r>
              <w:rPr/>
              <w:t>11.40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pPr>
            <w:r>
              <w:rPr/>
              <w:t>7/28/31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center"/>
              <w:rPr/>
            </w:pPr>
            <w:r>
              <w:rPr/>
              <w:t>12/30/25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 w:type="dxa"/>
            <w:tcBorders/>
            <w:shd w:fill="FFFFFF" w:val="clear"/>
            <w:tcMar>
              <w:bottom w:w="0" w:type="dxa"/>
            </w:tcMar>
            <w:vAlign w:val="center"/>
          </w:tcPr>
          <w:p>
            <w:pPr>
              <w:pStyle w:val="TableContents"/>
              <w:bidi w:val="0"/>
              <w:spacing w:before="0" w:after="283"/>
              <w:jc w:val="left"/>
              <w:rPr/>
            </w:pPr>
            <w:r>
              <w:rPr/>
              <w:t> </w:t>
            </w:r>
          </w:p>
        </w:tc>
        <w:tc>
          <w:tcPr>
            <w:tcW w:w="148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jc w:val="left"/>
              <w:rPr/>
            </w:pPr>
            <w:r>
              <w:rPr/>
              <w:t> </w:t>
            </w:r>
          </w:p>
        </w:tc>
        <w:tc>
          <w:tcPr>
            <w:tcW w:w="1135" w:type="dxa"/>
            <w:tcBorders/>
            <w:shd w:fill="FFFFFF" w:val="clear"/>
            <w:tcMar>
              <w:bottom w:w="0" w:type="dxa"/>
            </w:tcMar>
            <w:vAlign w:val="center"/>
          </w:tcPr>
          <w:p>
            <w:pPr>
              <w:pStyle w:val="TableContents"/>
              <w:bidi w:val="0"/>
              <w:spacing w:before="0" w:after="283"/>
              <w:jc w:val="right"/>
              <w:rPr/>
            </w:pPr>
            <w:r>
              <w:rPr/>
              <w:t>433,813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shd w:fill="FFFFFF" w:val="clear"/>
            <w:tcMar>
              <w:bottom w:w="0" w:type="dxa"/>
            </w:tcMar>
            <w:vAlign w:val="center"/>
          </w:tcPr>
          <w:p>
            <w:pPr>
              <w:pStyle w:val="TableContents"/>
              <w:bidi w:val="0"/>
              <w:spacing w:before="0" w:after="283"/>
              <w:jc w:val="left"/>
              <w:rPr/>
            </w:pPr>
            <w:r>
              <w:rPr/>
              <w:t>$</w:t>
            </w:r>
          </w:p>
        </w:tc>
        <w:tc>
          <w:tcPr>
            <w:tcW w:w="652" w:type="dxa"/>
            <w:tcBorders/>
            <w:shd w:fill="FFFFFF" w:val="clear"/>
            <w:tcMar>
              <w:bottom w:w="0" w:type="dxa"/>
            </w:tcMar>
            <w:vAlign w:val="center"/>
          </w:tcPr>
          <w:p>
            <w:pPr>
              <w:pStyle w:val="TableContents"/>
              <w:bidi w:val="0"/>
              <w:spacing w:before="0" w:after="283"/>
              <w:jc w:val="right"/>
              <w:rPr/>
            </w:pPr>
            <w:r>
              <w:rPr/>
              <w:t>4.85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center"/>
              <w:rPr/>
            </w:pPr>
            <w:r>
              <w:rPr/>
              <w:t>12/30/35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 w:type="dxa"/>
            <w:tcBorders/>
            <w:shd w:fill="FFFFFF" w:val="clear"/>
            <w:tcMar>
              <w:bottom w:w="0" w:type="dxa"/>
            </w:tcMar>
            <w:vAlign w:val="center"/>
          </w:tcPr>
          <w:p>
            <w:pPr>
              <w:pStyle w:val="TableContents"/>
              <w:bidi w:val="0"/>
              <w:spacing w:before="0" w:after="283"/>
              <w:jc w:val="left"/>
              <w:rPr/>
            </w:pPr>
            <w:r>
              <w:rPr/>
              <w:t> </w:t>
            </w:r>
          </w:p>
        </w:tc>
        <w:tc>
          <w:tcPr>
            <w:tcW w:w="63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6" w:type="dxa"/>
            <w:tcBorders/>
            <w:shd w:fill="FFFFFF" w:val="clear"/>
            <w:tcMar>
              <w:bottom w:w="0" w:type="dxa"/>
            </w:tcMar>
            <w:vAlign w:val="center"/>
          </w:tcPr>
          <w:p>
            <w:pPr>
              <w:pStyle w:val="TableContents"/>
              <w:bidi w:val="0"/>
              <w:spacing w:before="0" w:after="283"/>
              <w:jc w:val="left"/>
              <w:rPr/>
            </w:pPr>
            <w:r>
              <w:rPr/>
              <w:t> </w:t>
            </w:r>
          </w:p>
        </w:tc>
        <w:tc>
          <w:tcPr>
            <w:tcW w:w="809"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Tom DaPolito,</w:t>
              <w:br/>
              <w:t>Interim Chief</w:t>
              <w:br/>
              <w:t>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11/4/23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1,469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11/1/33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12/31/23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298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12/28/33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9/6/24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9/4/34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9/6/24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3,008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9/4/34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4/15/25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3,447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4/13/35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4/15/25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31.50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4/13/35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12/30/25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 w:type="dxa"/>
            <w:tcBorders/>
            <w:shd w:fill="CCEEFF" w:val="clear"/>
            <w:tcMar>
              <w:bottom w:w="0" w:type="dxa"/>
            </w:tcMar>
            <w:vAlign w:val="center"/>
          </w:tcPr>
          <w:p>
            <w:pPr>
              <w:pStyle w:val="TableContents"/>
              <w:bidi w:val="0"/>
              <w:spacing w:before="0" w:after="283"/>
              <w:jc w:val="left"/>
              <w:rPr/>
            </w:pPr>
            <w:r>
              <w:rPr/>
              <w:t> </w:t>
            </w:r>
          </w:p>
        </w:tc>
        <w:tc>
          <w:tcPr>
            <w:tcW w:w="148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285,077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w:t>
            </w:r>
          </w:p>
        </w:tc>
        <w:tc>
          <w:tcPr>
            <w:tcW w:w="652" w:type="dxa"/>
            <w:tcBorders/>
            <w:shd w:fill="CCEEFF" w:val="clear"/>
            <w:tcMar>
              <w:bottom w:w="0" w:type="dxa"/>
            </w:tcMar>
            <w:vAlign w:val="center"/>
          </w:tcPr>
          <w:p>
            <w:pPr>
              <w:pStyle w:val="TableContents"/>
              <w:bidi w:val="0"/>
              <w:spacing w:before="0" w:after="283"/>
              <w:jc w:val="right"/>
              <w:rPr/>
            </w:pPr>
            <w:r>
              <w:rPr/>
              <w:t>4.85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center"/>
              <w:rPr/>
            </w:pPr>
            <w:r>
              <w:rPr/>
              <w:t>12/30/35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63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6" w:type="dxa"/>
            <w:tcBorders/>
            <w:shd w:fill="CCEEFF" w:val="clear"/>
            <w:tcMar>
              <w:bottom w:w="0" w:type="dxa"/>
            </w:tcMar>
            <w:vAlign w:val="center"/>
          </w:tcPr>
          <w:p>
            <w:pPr>
              <w:pStyle w:val="TableContents"/>
              <w:bidi w:val="0"/>
              <w:spacing w:before="0" w:after="283"/>
              <w:jc w:val="left"/>
              <w:rPr/>
            </w:pPr>
            <w:r>
              <w:rPr/>
              <w:t> </w:t>
            </w:r>
          </w:p>
        </w:tc>
        <w:tc>
          <w:tcPr>
            <w:tcW w:w="80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bookmarkStart w:id="458" w:name="a_018"/>
      <w:bookmarkEnd w:id="458"/>
      <w:r>
        <w:rPr>
          <w:rFonts w:ascii="Times New Roman;Times;Serif" w:hAnsi="Times New Roman;Times;Serif"/>
          <w:b/>
          <w:i w:val="false"/>
          <w:caps w:val="false"/>
          <w:smallCaps w:val="false"/>
          <w:sz w:val="20"/>
        </w:rPr>
        <w:t>Item 6.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6"/>
        <w:gridCol w:w="60"/>
        <w:gridCol w:w="5695"/>
        <w:gridCol w:w="60"/>
        <w:gridCol w:w="500"/>
        <w:gridCol w:w="60"/>
        <w:gridCol w:w="844"/>
        <w:gridCol w:w="60"/>
        <w:gridCol w:w="933"/>
        <w:gridCol w:w="60"/>
        <w:gridCol w:w="967"/>
      </w:tblGrid>
      <w:tr>
        <w:trPr/>
        <w:tc>
          <w:tcPr>
            <w:tcW w:w="96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424"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96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6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bottom w:val="single" w:sz="8"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Incorporation of Aptera Motors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Bylaws of Aptera Motors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Common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26,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26,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Inducement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Securities Purchase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26,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Form of Placement Agency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26,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Form of Lock-Up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333-292655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9,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Inducement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12, 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7"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100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tc>
      </w:tr>
      <w:tr>
        <w:trPr/>
        <w:tc>
          <w:tcPr>
            <w:tcW w:w="171" w:type="dxa"/>
            <w:tcBorders/>
            <w:vAlign w:val="center"/>
          </w:tcPr>
          <w:p>
            <w:pPr>
              <w:pStyle w:val="TableContents"/>
              <w:bidi w:val="0"/>
              <w:spacing w:before="0" w:after="283"/>
              <w:jc w:val="left"/>
              <w:rPr>
                <w:caps w:val="false"/>
                <w:smallCaps w:val="false"/>
              </w:rPr>
            </w:pPr>
            <w:r>
              <w:rPr>
                <w:caps w:val="false"/>
                <w:smallCaps w:val="false"/>
              </w:rPr>
              <w:t> </w:t>
            </w:r>
          </w:p>
        </w:tc>
        <w:tc>
          <w:tcPr>
            <w:tcW w:w="1003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 or compensatory plan or arrangement.</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bookmarkStart w:id="459" w:name="a_019"/>
      <w:bookmarkEnd w:id="459"/>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pBdr/>
        <w:bidi w:val="0"/>
        <w:spacing w:before="0" w:after="0"/>
        <w:ind w:left="0" w:right="0" w:firstLine="388"/>
        <w:jc w:val="both"/>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1655"/>
        <w:gridCol w:w="545"/>
        <w:gridCol w:w="5030"/>
      </w:tblGrid>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5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165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pBdr/>
        <w:bidi w:val="0"/>
        <w:spacing w:before="0" w:after="0"/>
        <w:ind w:left="0" w:right="0" w:hanging="0"/>
        <w:jc w:val="both"/>
        <w:rPr>
          <w:caps w:val="false"/>
          <w:smallCaps w:val="false"/>
        </w:rPr>
      </w:pPr>
      <w:bookmarkStart w:id="460" w:name="ex31-1.htm"/>
      <w:bookmarkStart w:id="461" w:name="ksex311"/>
      <w:bookmarkEnd w:id="460"/>
      <w:bookmarkEnd w:id="461"/>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302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Chris Anthony, certify that:</w:t>
      </w:r>
    </w:p>
    <w:p>
      <w:pPr>
        <w:pStyle w:val="TextBody"/>
        <w:pBdr/>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2026 of Aptera Motors Corp.;</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5"/>
        <w:gridCol w:w="170"/>
        <w:gridCol w:w="7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omitted pursuant to SEC Release Nos. 33-8238/34-47986 and 33-8392/34-49313)</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center"/>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62" w:name="ex31-2.htm"/>
      <w:bookmarkStart w:id="463" w:name="ksex312"/>
      <w:bookmarkEnd w:id="462"/>
      <w:bookmarkEnd w:id="463"/>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INTERIM CHIEF FINANCIAL OFFICER PURSUANT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302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Tom DaPolito, certify that:</w:t>
      </w:r>
    </w:p>
    <w:p>
      <w:pPr>
        <w:pStyle w:val="TextBody"/>
        <w:pBdr/>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170"/>
        <w:gridCol w:w="91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March 31, 2026 of Aptera Motors Corp.;</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omitted pursuant to SEC Release Nos. 33-8238/34-47986 and 33-8392/34-49313);</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0"/>
        <w:jc w:val="center"/>
        <w:rPr>
          <w:caps w:val="false"/>
          <w:smallCaps w:val="false"/>
        </w:rPr>
      </w:pPr>
      <w:r>
        <w:rPr>
          <w:caps w:val="false"/>
          <w:smallCaps w:val="false"/>
        </w:rPr>
        <w:t> </w:t>
      </w:r>
    </w:p>
    <w:tbl>
      <w:tblPr>
        <w:tblW w:w="5105" w:type="dxa"/>
        <w:jc w:val="left"/>
        <w:tblInd w:w="0" w:type="dxa"/>
        <w:tblLayout w:type="fixed"/>
        <w:tblCellMar>
          <w:top w:w="0" w:type="dxa"/>
          <w:left w:w="0" w:type="dxa"/>
          <w:bottom w:w="0" w:type="dxa"/>
          <w:right w:w="0" w:type="dxa"/>
        </w:tblCellMar>
      </w:tblPr>
      <w:tblGrid>
        <w:gridCol w:w="75"/>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pBd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bookmarkStart w:id="464" w:name="ex32-1.htm"/>
      <w:bookmarkStart w:id="465" w:name="ksex321"/>
      <w:bookmarkEnd w:id="464"/>
      <w:bookmarkEnd w:id="465"/>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for the quarter ended March 31, 2026 (the “Quarterly Report”) of Aptera Motors Corp. (the “Company”), the undersigned hereby certifies in his capacity as an officer of the Company that to such officer’s knowledge: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as amended;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760"/>
        <w:gridCol w:w="365"/>
        <w:gridCol w:w="236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2026</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pBdr/>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bookmarkStart w:id="466" w:name="ex32-2.htm"/>
      <w:bookmarkStart w:id="467" w:name="ksex322"/>
      <w:bookmarkEnd w:id="466"/>
      <w:bookmarkEnd w:id="467"/>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Interim Chief Financial Officer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for the quarter ended March 31, 2026, (the “Quarterly Report”) of Aptera Motors Corp. (the “Company”), the undersigned hereby certifies in his capacity as an officer of the Company that to such officer’s knowledge: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as amended;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pBdr/>
        <w:bidi w:val="0"/>
        <w:spacing w:before="0" w:after="0"/>
        <w:ind w:left="0" w:right="0" w:firstLine="720"/>
        <w:jc w:val="both"/>
        <w:rPr>
          <w:caps w:val="false"/>
          <w:smallCaps w:val="false"/>
        </w:rPr>
      </w:pPr>
      <w:r>
        <w:rPr>
          <w:caps w:val="false"/>
          <w:smallCaps w:val="false"/>
        </w:rPr>
        <w:t> </w:t>
      </w:r>
    </w:p>
    <w:tbl>
      <w:tblPr>
        <w:tblW w:w="7110" w:type="dxa"/>
        <w:jc w:val="left"/>
        <w:tblInd w:w="0" w:type="dxa"/>
        <w:tblLayout w:type="fixed"/>
        <w:tblCellMar>
          <w:top w:w="0" w:type="dxa"/>
          <w:left w:w="0" w:type="dxa"/>
          <w:bottom w:w="0" w:type="dxa"/>
          <w:right w:w="0" w:type="dxa"/>
        </w:tblCellMar>
      </w:tblPr>
      <w:tblGrid>
        <w:gridCol w:w="1760"/>
        <w:gridCol w:w="320"/>
        <w:gridCol w:w="5030"/>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Tom DaPolito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13,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6471/000149315225016548/ex3-1.htm" TargetMode="External"/><Relationship Id="rId3" Type="http://schemas.openxmlformats.org/officeDocument/2006/relationships/hyperlink" Target="https://www.sec.gov/Archives/edgar/data/1786471/000149315225016548/ex3-2.htm" TargetMode="External"/><Relationship Id="rId4" Type="http://schemas.openxmlformats.org/officeDocument/2006/relationships/hyperlink" Target="https://www.sec.gov/Archives/edgar/data/1786471/000149315226003512/ex4-1.htm" TargetMode="External"/><Relationship Id="rId5" Type="http://schemas.openxmlformats.org/officeDocument/2006/relationships/hyperlink" Target="https://www.sec.gov/Archives/edgar/data/1786471/000149315226003512/ex4-2.htm" TargetMode="External"/><Relationship Id="rId6" Type="http://schemas.openxmlformats.org/officeDocument/2006/relationships/hyperlink" Target="https://www.sec.gov/Archives/edgar/data/1786471/000149315226009780/ex4-1.htm" TargetMode="External"/><Relationship Id="rId7" Type="http://schemas.openxmlformats.org/officeDocument/2006/relationships/hyperlink" Target="https://www.sec.gov/Archives/edgar/data/1786471/000149315226003512/ex10-1.htm" TargetMode="External"/><Relationship Id="rId8" Type="http://schemas.openxmlformats.org/officeDocument/2006/relationships/hyperlink" Target="https://www.sec.gov/Archives/edgar/data/1786471/000149315226003512/ex10-2.htm" TargetMode="External"/><Relationship Id="rId9" Type="http://schemas.openxmlformats.org/officeDocument/2006/relationships/hyperlink" Target="https://www.sec.gov/Archives/edgar/data/1786471/000149315226001124/ex10-19.htm" TargetMode="External"/><Relationship Id="rId10" Type="http://schemas.openxmlformats.org/officeDocument/2006/relationships/hyperlink" Target="https://www.sec.gov/Archives/edgar/data/1786471/000149315226009780/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13453</Words>
  <Characters>75225</Characters>
  <CharactersWithSpaces>89768</CharactersWithSpaces>
  <Paragraphs>4063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