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5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Michael Edious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5818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Aptera Motors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CARLSBAD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Michael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04/17/2026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48,500</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3.0919</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4,976,276</w:t>
            </w:r>
          </w:p>
        </w:tc>
        <w:tc>
          <w:tcPr>
            <w:tcW w:w="32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Johnson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Properties,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owned by Michael Johnson Properties, Ltd. Michael Johnson is the sole owner of Michael Johnson Properties, Ltd., and may be deemed have voting and dispositive power over the shares held by this entity.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Johnson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086672" TargetMode="External"/><Relationship Id="rId14" Type="http://schemas.openxmlformats.org/officeDocument/2006/relationships/hyperlink" Target="http://www.sec.gov/cgi-bin/browse-edgar?action=getcompany&amp;CIK=00017864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2026-04-21T13:30:07Z</dcterms:created>
  <dcterms:modified xsi:type="dcterms:W3CDTF">2026-04-21T13:30:07Z</dcterms:modified>
</cp:coreProperties>
</file>