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Filed Pursuant to Rule 424(b)(4)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333-294942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142875</wp:posOffset>
            </wp:positionV>
            <wp:extent cx="1285875" cy="129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129413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560" w:space="720"/>
            <w:col w:w="2960"/>
          </w:cols>
          <w:pgMar w:left="32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APTERA MOTORS CORP.</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4,751,250 Shares of Class B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Issuable Upon Exercise of Outstanding Warrants</w:t>
      </w:r>
    </w:p>
    <w:p>
      <w:pPr>
        <w:spacing w:after="0" w:line="229"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of up to 4,751,250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4,751,250 shares of Common Stock issuable upon the exercise of warrants (the “Warrants”). The Warrants were issued to the Selling Stockholders in a private placement offering (the “Private Placement”) which closed on March 12, 2026.</w:t>
      </w:r>
    </w:p>
    <w:p>
      <w:pPr>
        <w:spacing w:after="0" w:line="18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about the Private Placement, see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w:t>
      </w:r>
    </w:p>
    <w:p>
      <w:pPr>
        <w:spacing w:after="0" w:line="22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Warrants have an exercise price of $3.50 per share. The Warrants will be exercisable immediately and will expire on the five (5) year anniversary of their issuance date.</w:t>
      </w:r>
    </w:p>
    <w:p>
      <w:pPr>
        <w:spacing w:after="0" w:line="162"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 10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11 of this prospectus for more information.</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“SEV”. On April 7, 2026, the last reported sale price of our Common Stock as reported on Nasdaq was $2.78.</w:t>
      </w:r>
    </w:p>
    <w:p>
      <w:pPr>
        <w:spacing w:after="0" w:line="160" w:lineRule="exact"/>
        <w:rPr>
          <w:sz w:val="24"/>
          <w:szCs w:val="24"/>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156"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Before deciding whether to invest in our securities, you should consider carefully the risks and uncertainties described in the section captioned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spacing w:after="0" w:line="179"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680" w:type="dxa"/>
            <w:vAlign w:val="bottom"/>
            <w:tcBorders>
              <w:bottom w:val="single" w:sz="8" w:color="CCEEFF"/>
            </w:tcBorders>
            <w:gridSpan w:val="6"/>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46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98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PRIVATE PLACEMENT</w:t>
            </w:r>
          </w:p>
        </w:tc>
        <w:tc>
          <w:tcPr>
            <w:tcW w:w="246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6560" w:type="dxa"/>
            <w:vAlign w:val="bottom"/>
            <w:tcBorders>
              <w:bottom w:val="single" w:sz="8" w:color="CCEEFF"/>
            </w:tcBorders>
            <w:gridSpan w:val="5"/>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6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720" w:type="dxa"/>
            <w:vAlign w:val="bottom"/>
            <w:tcBorders>
              <w:bottom w:val="single" w:sz="8" w:color="CCEEFF"/>
            </w:tcBorders>
            <w:gridSpan w:val="7"/>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46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7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6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320" w:type="dxa"/>
            <w:vAlign w:val="bottom"/>
            <w:tcBorders>
              <w:top w:val="single" w:sz="8" w:color="CCEEFF"/>
            </w:tcBorders>
            <w:gridSpan w:val="10"/>
          </w:tcPr>
          <w:p>
            <w:pPr>
              <w:spacing w:after="0"/>
              <w:rPr>
                <w:sz w:val="15"/>
                <w:szCs w:val="15"/>
                <w:color w:val="auto"/>
              </w:rPr>
            </w:pPr>
          </w:p>
        </w:tc>
        <w:tc>
          <w:tcPr>
            <w:tcW w:w="2460" w:type="dxa"/>
            <w:vAlign w:val="bottom"/>
            <w:tcBorders>
              <w:top w:val="single" w:sz="8" w:color="CCEEFF"/>
            </w:tcBorders>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75"/>
        </w:trPr>
        <w:tc>
          <w:tcPr>
            <w:tcW w:w="87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60" w:type="dxa"/>
            <w:vAlign w:val="bottom"/>
            <w:shd w:val="clear" w:color="auto" w:fill="CCEEFF"/>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7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60" w:type="dxa"/>
            <w:vAlign w:val="bottom"/>
          </w:tcPr>
          <w:p>
            <w:pPr>
              <w:jc w:val="center"/>
              <w:ind w:left="19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automotive technology company focused on developing and manufacturing highly efficient solar electric vehicles (SEVs). Our flagship vehicle, the Aptera, is a three-wheeled, two-passenger vehicle designed for efficiency and sustainability. We believe the Aptera’s unique design, incorporating solar charging capabilities and aerodynamic efficiency, will offer a compelling alternative to conventional vehicles.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Aptera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Aptera offers several competitive advantages, including:</w:t>
      </w:r>
    </w:p>
    <w:p>
      <w:pPr>
        <w:spacing w:after="0" w:line="22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Efficiency: </w:t>
      </w:r>
      <w:r>
        <w:rPr>
          <w:rFonts w:ascii="Times New Roman" w:cs="Times New Roman" w:eastAsia="Times New Roman" w:hAnsi="Times New Roman"/>
          <w:sz w:val="18"/>
          <w:szCs w:val="18"/>
          <w:color w:val="auto"/>
        </w:rPr>
        <w:t>The Aptera’s aerodynamic design and lightweight construction contribute to its high energy efficiency.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Solar Charging: </w:t>
      </w:r>
      <w:r>
        <w:rPr>
          <w:rFonts w:ascii="Times New Roman" w:cs="Times New Roman" w:eastAsia="Times New Roman" w:hAnsi="Times New Roman"/>
          <w:sz w:val="18"/>
          <w:szCs w:val="18"/>
          <w:color w:val="auto"/>
        </w:rPr>
        <w:t>Integrated solar panels provide supplemental charging, potentially reducing reliance on traditional charging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Unique Design: </w:t>
      </w:r>
      <w:r>
        <w:rPr>
          <w:rFonts w:ascii="Times New Roman" w:cs="Times New Roman" w:eastAsia="Times New Roman" w:hAnsi="Times New Roman"/>
          <w:sz w:val="18"/>
          <w:szCs w:val="18"/>
          <w:color w:val="auto"/>
        </w:rPr>
        <w:t>The Aptera’s distinctive three-wheeled design differentiates it from conventional vehicles.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Sustainability: </w:t>
      </w:r>
      <w:r>
        <w:rPr>
          <w:rFonts w:ascii="Times New Roman" w:cs="Times New Roman" w:eastAsia="Times New Roman" w:hAnsi="Times New Roman"/>
          <w:sz w:val="18"/>
          <w:szCs w:val="18"/>
          <w:color w:val="auto"/>
        </w:rPr>
        <w:t>The Aptera’s electric powertrain and solar charging capabilities contribute to a reduced environmental footprint.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Challenges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numerous challenges in developing and commercializing the Aptera, including:</w:t>
      </w:r>
    </w:p>
    <w:p>
      <w:pPr>
        <w:spacing w:after="0" w:line="2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Production: </w:t>
      </w:r>
      <w:r>
        <w:rPr>
          <w:rFonts w:ascii="Times New Roman" w:cs="Times New Roman" w:eastAsia="Times New Roman" w:hAnsi="Times New Roman"/>
          <w:sz w:val="18"/>
          <w:szCs w:val="18"/>
          <w:color w:val="auto"/>
        </w:rPr>
        <w:t>We have not yet commenced production of the Aptera and face risks associated with scaling production.</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The passenger vehicle industry is highly competitive, and we face competition from established automakers and other electric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manufacturers.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w:t>
      </w:r>
      <w:r>
        <w:rPr>
          <w:rFonts w:ascii="Times New Roman" w:cs="Times New Roman" w:eastAsia="Times New Roman" w:hAnsi="Times New Roman"/>
          <w:sz w:val="18"/>
          <w:szCs w:val="18"/>
          <w:color w:val="auto"/>
        </w:rPr>
        <w:t>The development of advanced technologies, such as solar charging and battery systems, involves technical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w:t>
      </w:r>
      <w:r>
        <w:rPr>
          <w:rFonts w:ascii="Times New Roman" w:cs="Times New Roman" w:eastAsia="Times New Roman" w:hAnsi="Times New Roman"/>
          <w:sz w:val="18"/>
          <w:szCs w:val="18"/>
          <w:color w:val="auto"/>
        </w:rPr>
        <w:t>We will require significant additional capital to fund our operations and achieve our business objectives.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Capital Structure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 w:cs="Times New Roman" w:eastAsia="Times New Roman" w:hAnsi="Times New Roman"/>
          <w:sz w:val="18"/>
          <w:szCs w:val="18"/>
          <w:i w:val="1"/>
          <w:iCs w:val="1"/>
          <w:color w:val="auto"/>
        </w:rPr>
        <w:t>Description of Capital Stock - Common Stock - Voting Rights” and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 - Preferred Stock - Voting Rights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We may take advantage of specified reduced disclosure and other requirements that are otherwise applicable, in general, to public companies that are not emerging growth companies. These provisions include, but are not limited to:</w:t>
      </w:r>
    </w:p>
    <w:p>
      <w:pPr>
        <w:spacing w:after="0" w:line="16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and only two years of related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on the effectiveness of our internal control over financial reporting pursuant to the Sarbanes-Oxley Act of 2002;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about our executive compensation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to obtain a non-binding advisory vote on executive compensation or a stockholder approval of any golden parachute arrangements;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transition periods for complying with new or revised accounting standards.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Benefit Corporation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 w:cs="Times New Roman" w:eastAsia="Times New Roman" w:hAnsi="Times New Roman"/>
          <w:sz w:val="18"/>
          <w:szCs w:val="18"/>
          <w:i w:val="1"/>
          <w:iCs w:val="1"/>
          <w:color w:val="auto"/>
        </w:rPr>
        <w:t>Description of Capital Stock-Public Benefit Corporation Status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“SEV.”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line="200" w:lineRule="exact"/>
        <w:rPr>
          <w:sz w:val="20"/>
          <w:szCs w:val="20"/>
          <w:color w:val="auto"/>
        </w:rPr>
      </w:pPr>
    </w:p>
    <w:p>
      <w:pPr>
        <w:spacing w:after="0" w:line="2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 Class B Common Stock offered by the Selling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Securities Exchange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4,751,250 shares of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10 of this prospectus for a more detailed discussion.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“SEV”.</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Please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5 of this prospectus. In addition before deciding whether to invest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you should consider carefully the risks and uncertainties described in the section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p>
      <w:pPr>
        <w:spacing w:after="0" w:line="18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00" w:space="420"/>
            <w:col w:w="742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deciding whether to invest in our securities, you should consider carefully the risks and uncertainties described in the section captioned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raise capital to fund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well-established competitors and new entrants;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regulatory environment applicable to our operations and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begin manufacturing our vehicles at 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being a public company.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12, 2026, we entered into an inducement offer letter agreement (the “Inducement Letter”) with certain holders (the “Holders”) of certain of our existing warrants to purchase up to an aggregate of 3,167,500 shares of our Common Stock issued to the Holders on January 26, 2026 (the “Existing Warrants”). The Existing Warrants had an exercise price of $2.00 per share.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Inducement Letter, the Holders agreed to exercise for cash their Existing Warrants at an exercise price of $2.00 per share in consideration for our agreement to issue in a private placement warrants to purchase up to an aggregate of 4,751,250 shares of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Warrants were issued on March 12, 2026 (the “Closing Date”). We received aggregate gross proceeds of approximately $6.34 million from the exercise of the Existing Warrants by the Holders, before deducting financial advisory fees and other offering expenses payable by us.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Inducement Letter, we agreed to file a registration statement on Form S-1 providing for the resale of the Warrant Shares as soon as reasonably practicable after the Closing Date (and in any event within 10 calendar days of the filing of the Company’s Annual Report on Form 10-K (the “10-K Filing Date”)), and to use commercially reasonable efforts to cause such registration statement to be declared effective by the SEC within 60 days following the 10-K Filing Date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prospectus covers the resale or other disposition by the Selling Stockholders identified in the table below of up to an aggregate 4,751,250 shares of our Common Stock issuable upon the exercise of the Warrants. The Selling Stockholders acquired their securities in the transactions described above under the heading </w:t>
      </w:r>
      <w:r>
        <w:rPr>
          <w:rFonts w:ascii="Times New Roman" w:cs="Times New Roman" w:eastAsia="Times New Roman" w:hAnsi="Times New Roman"/>
          <w:sz w:val="18"/>
          <w:szCs w:val="18"/>
          <w:i w:val="1"/>
          <w:iCs w:val="1"/>
          <w:color w:val="auto"/>
        </w:rPr>
        <w:t>“Private Placement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Warrants held by the Selling Stockholders contain limitations which prevent the holder from exercising such Warrants if such exercise would cause the Selling Stockholder, together with certain related parties, to beneficially own a number of shares of Common Stock which would exceed 4.99% or 9.99% of our then outstanding shares of Common Stock following such exercise, excluding for purposes of such determination, shares of Common Stock issuable upon exercise of the Warrants which have not been exercised.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as of March 31, 2026, the following information regarding the Selling Stockholders: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owned by the Selling Stockholders prior to this offering, without regard to any beneficial ownership limitations contained in the Warrants;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offered by the Selling Stockholders in this offering;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to be owned by the Selling Stockholders assuming the sale of all of the shares of Common Stock covered by this prospectus;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our issued and outstanding shares of Common Stock to be owned by Selling Stockholders assuming the sale of all of the shares of Common Stock covered by this prospectus based on the number of shares of Common Stock issued and outstanding as of March 31,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the number of shares of Common Stock beneficially owned by the Selling Stockholder has been determined in accordance with Rule 13d-3 under the Exchange Act and includes, for such purpose, shares of Common Stock that the Selling Stockholder has the right to acquire within 60 days of March 31, 2026.</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information with respect to the Common Stock ownership of the Selling Stockholders has been furnished by or on behalf of the Selling Stockholders. We believe, based on information supplied by the Selling Stockholders, that except as may otherwise be indicated in the footnotes to the table below, the Selling Stockholder has sole voting and dispositive power with respect to the shares of Common Stock reported as beneficially owned by the Selling Stockholders. Because the Selling Stockholders identified in the table may sell some or all of the shares of Common Stock beneficially owned by them and covered by this prospectus, and because there are currently no agreements, arrangements or understandings with respect to the sale of any of the shares of Common Stock, no estimate can be given as to the number of shares of Common Stock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beneficially own in transactions exempt from the registration requirements of the Securities Act after the date on which they provided the information set forth in the table below. We have, therefore, assumed for the purposes of the following table, that the Selling Stockholders will sell all of the shares of Common Stock owned beneficially by it that are covered by this prospectus, but will not sell any other shares of Common Stock that they presently own. Except as set forth below, the Selling Stockholders have not held any position or office, or have otherwise had a material relationship, with us or any of our subsidiaries within the past three years other than as a result of the ownership of our shares of Common Stock or other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48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Shares Prior</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Shares After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48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to the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by this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0" w:type="dxa"/>
            <w:vAlign w:val="bottom"/>
          </w:tcPr>
          <w:p>
            <w:pPr>
              <w:spacing w:after="0"/>
              <w:rPr>
                <w:sz w:val="1"/>
                <w:szCs w:val="1"/>
                <w:color w:val="auto"/>
              </w:rPr>
            </w:pPr>
          </w:p>
        </w:tc>
      </w:t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Stockholders</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4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(1)(2)</w:t>
            </w: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Prospectus (3)</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(1)</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 (2)</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Polar Asset Management Partners Inc.</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2,250,000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(4)</w:t>
            </w:r>
          </w:p>
        </w:tc>
        <w:tc>
          <w:tcPr>
            <w:tcW w:w="1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6"/>
                <w:szCs w:val="16"/>
                <w:color w:val="auto"/>
              </w:rPr>
              <w:t>7.41%</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2,250,000</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ind w:left="1140"/>
              <w:spacing w:after="0" w:line="142" w:lineRule="exact"/>
              <w:rPr>
                <w:sz w:val="20"/>
                <w:szCs w:val="20"/>
                <w:color w:val="auto"/>
              </w:rPr>
            </w:pPr>
            <w:r>
              <w:rPr>
                <w:rFonts w:ascii="Times New Roman" w:cs="Times New Roman" w:eastAsia="Times New Roman" w:hAnsi="Times New Roman"/>
                <w:sz w:val="16"/>
                <w:szCs w:val="16"/>
                <w:color w:val="auto"/>
                <w:w w:val="74"/>
              </w:rPr>
              <w:t>0</w:t>
            </w:r>
          </w:p>
        </w:tc>
        <w:tc>
          <w:tcPr>
            <w:tcW w:w="34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Heights Capital Management, Inc.</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562,500</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(5)</w:t>
            </w: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1.96%</w:t>
            </w:r>
          </w:p>
        </w:tc>
        <w:tc>
          <w:tcPr>
            <w:tcW w:w="15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562,500</w:t>
            </w:r>
          </w:p>
        </w:tc>
        <w:tc>
          <w:tcPr>
            <w:tcW w:w="1560" w:type="dxa"/>
            <w:vAlign w:val="bottom"/>
            <w:gridSpan w:val="2"/>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Hudson Bay Master Fund Ltd.</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562,500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(6)</w:t>
            </w:r>
          </w:p>
        </w:tc>
        <w:tc>
          <w:tcPr>
            <w:tcW w:w="1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1.96%</w:t>
            </w:r>
          </w:p>
        </w:tc>
        <w:tc>
          <w:tcPr>
            <w:tcW w:w="15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562,500</w:t>
            </w:r>
          </w:p>
        </w:tc>
        <w:tc>
          <w:tcPr>
            <w:tcW w:w="1560" w:type="dxa"/>
            <w:vAlign w:val="bottom"/>
            <w:gridSpan w:val="2"/>
            <w:shd w:val="clear" w:color="auto" w:fill="CCEEFF"/>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Intracoastal Capital LLC</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495,000</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(7)</w:t>
            </w: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1.73%</w:t>
            </w:r>
          </w:p>
        </w:tc>
        <w:tc>
          <w:tcPr>
            <w:tcW w:w="15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495,000</w:t>
            </w:r>
          </w:p>
        </w:tc>
        <w:tc>
          <w:tcPr>
            <w:tcW w:w="1560" w:type="dxa"/>
            <w:vAlign w:val="bottom"/>
            <w:gridSpan w:val="2"/>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Robert Forster</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262,500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(8)</w:t>
            </w:r>
          </w:p>
        </w:tc>
        <w:tc>
          <w:tcPr>
            <w:tcW w:w="1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262,500</w:t>
            </w:r>
          </w:p>
        </w:tc>
        <w:tc>
          <w:tcPr>
            <w:tcW w:w="1560" w:type="dxa"/>
            <w:vAlign w:val="bottom"/>
            <w:gridSpan w:val="2"/>
            <w:shd w:val="clear" w:color="auto" w:fill="CCEEFF"/>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KBB Asset Management LLC</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195,000</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(9)</w:t>
            </w: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195,000</w:t>
            </w:r>
          </w:p>
        </w:tc>
        <w:tc>
          <w:tcPr>
            <w:tcW w:w="1560" w:type="dxa"/>
            <w:vAlign w:val="bottom"/>
            <w:gridSpan w:val="2"/>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Mank Capital, LLC</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150,000</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(10)</w:t>
            </w:r>
          </w:p>
        </w:tc>
        <w:tc>
          <w:tcPr>
            <w:tcW w:w="1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150,000</w:t>
            </w:r>
          </w:p>
        </w:tc>
        <w:tc>
          <w:tcPr>
            <w:tcW w:w="1560" w:type="dxa"/>
            <w:vAlign w:val="bottom"/>
            <w:gridSpan w:val="2"/>
            <w:shd w:val="clear" w:color="auto" w:fill="CCEEFF"/>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Aramas Capital Management LLC</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112,500</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(11)</w:t>
            </w:r>
          </w:p>
        </w:tc>
        <w:tc>
          <w:tcPr>
            <w:tcW w:w="1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112,500</w:t>
            </w:r>
          </w:p>
        </w:tc>
        <w:tc>
          <w:tcPr>
            <w:tcW w:w="1560" w:type="dxa"/>
            <w:vAlign w:val="bottom"/>
            <w:gridSpan w:val="2"/>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5"/>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Connective Capital Emerging Energy</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85,756</w:t>
            </w:r>
          </w:p>
        </w:tc>
        <w:tc>
          <w:tcPr>
            <w:tcW w:w="480" w:type="dxa"/>
            <w:vAlign w:val="bottom"/>
            <w:shd w:val="clear" w:color="auto" w:fill="CCEEFF"/>
          </w:tcPr>
          <w:p>
            <w:pPr>
              <w:spacing w:after="0"/>
              <w:rPr>
                <w:sz w:val="17"/>
                <w:szCs w:val="17"/>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85,756</w:t>
            </w:r>
          </w:p>
        </w:tc>
        <w:tc>
          <w:tcPr>
            <w:tcW w:w="1560" w:type="dxa"/>
            <w:vAlign w:val="bottom"/>
            <w:gridSpan w:val="2"/>
            <w:vMerge w:val="restart"/>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QP, LP</w:t>
            </w:r>
          </w:p>
        </w:tc>
        <w:tc>
          <w:tcPr>
            <w:tcW w:w="1220" w:type="dxa"/>
            <w:vAlign w:val="bottom"/>
            <w:vMerge w:val="continue"/>
            <w:shd w:val="clear" w:color="auto" w:fill="CCEEFF"/>
          </w:tcPr>
          <w:p>
            <w:pPr>
              <w:spacing w:after="0"/>
              <w:rPr>
                <w:sz w:val="14"/>
                <w:szCs w:val="14"/>
                <w:color w:val="auto"/>
              </w:rPr>
            </w:pP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(12)</w:t>
            </w:r>
          </w:p>
        </w:tc>
        <w:tc>
          <w:tcPr>
            <w:tcW w:w="180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16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Boothbay Absolute Return Strategies,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480" w:type="dxa"/>
            <w:vAlign w:val="bottom"/>
          </w:tcPr>
          <w:p>
            <w:pPr>
              <w:spacing w:after="0"/>
              <w:rPr>
                <w:sz w:val="17"/>
                <w:szCs w:val="17"/>
                <w:color w:val="auto"/>
              </w:rPr>
            </w:pPr>
          </w:p>
        </w:tc>
        <w:tc>
          <w:tcPr>
            <w:tcW w:w="1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45,000</w:t>
            </w:r>
          </w:p>
        </w:tc>
        <w:tc>
          <w:tcPr>
            <w:tcW w:w="15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color w:val="auto"/>
              </w:rPr>
              <w:t>LP</w:t>
            </w:r>
          </w:p>
        </w:tc>
        <w:tc>
          <w:tcPr>
            <w:tcW w:w="1220" w:type="dxa"/>
            <w:vAlign w:val="bottom"/>
            <w:vMerge w:val="continue"/>
          </w:tcPr>
          <w:p>
            <w:pPr>
              <w:spacing w:after="0"/>
              <w:rPr>
                <w:sz w:val="14"/>
                <w:szCs w:val="1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(13)</w:t>
            </w:r>
          </w:p>
        </w:tc>
        <w:tc>
          <w:tcPr>
            <w:tcW w:w="18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Connective Capital I QP, LP</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19,244</w:t>
            </w:r>
          </w:p>
        </w:tc>
        <w:tc>
          <w:tcPr>
            <w:tcW w:w="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(14)</w:t>
            </w:r>
          </w:p>
        </w:tc>
        <w:tc>
          <w:tcPr>
            <w:tcW w:w="1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7"/>
                <w:szCs w:val="17"/>
                <w:color w:val="auto"/>
              </w:rPr>
              <w:t>19,244</w:t>
            </w:r>
          </w:p>
        </w:tc>
        <w:tc>
          <w:tcPr>
            <w:tcW w:w="1560" w:type="dxa"/>
            <w:vAlign w:val="bottom"/>
            <w:gridSpan w:val="2"/>
            <w:shd w:val="clear" w:color="auto" w:fill="CCEEFF"/>
          </w:tcPr>
          <w:p>
            <w:pPr>
              <w:ind w:left="1140"/>
              <w:spacing w:after="0" w:line="149" w:lineRule="exact"/>
              <w:rPr>
                <w:sz w:val="20"/>
                <w:szCs w:val="20"/>
                <w:color w:val="auto"/>
              </w:rPr>
            </w:pPr>
            <w:r>
              <w:rPr>
                <w:rFonts w:ascii="Times New Roman" w:cs="Times New Roman" w:eastAsia="Times New Roman" w:hAnsi="Times New Roman"/>
                <w:sz w:val="17"/>
                <w:szCs w:val="17"/>
                <w:color w:val="auto"/>
              </w:rPr>
              <w:t>0</w:t>
            </w:r>
          </w:p>
        </w:tc>
        <w:tc>
          <w:tcPr>
            <w:tcW w:w="1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8"/>
        </w:trPr>
        <w:tc>
          <w:tcPr>
            <w:tcW w:w="282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480" w:type="dxa"/>
            <w:vAlign w:val="bottom"/>
            <w:tcBorders>
              <w:bottom w:val="single" w:sz="8" w:color="CCEEFF"/>
            </w:tcBorders>
            <w:vMerge w:val="continue"/>
            <w:shd w:val="clear" w:color="auto" w:fill="CCEEFF"/>
          </w:tcPr>
          <w:p>
            <w:pPr>
              <w:spacing w:after="0"/>
              <w:rPr>
                <w:sz w:val="4"/>
                <w:szCs w:val="4"/>
                <w:color w:val="auto"/>
              </w:rPr>
            </w:pPr>
          </w:p>
        </w:tc>
        <w:tc>
          <w:tcPr>
            <w:tcW w:w="142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12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144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Kingsbrook Opportunities Master</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480" w:type="dxa"/>
            <w:vAlign w:val="bottom"/>
          </w:tcPr>
          <w:p>
            <w:pPr>
              <w:spacing w:after="0"/>
              <w:rPr>
                <w:sz w:val="17"/>
                <w:szCs w:val="17"/>
                <w:color w:val="auto"/>
              </w:rPr>
            </w:pPr>
          </w:p>
        </w:tc>
        <w:tc>
          <w:tcPr>
            <w:tcW w:w="1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11,250</w:t>
            </w:r>
          </w:p>
        </w:tc>
        <w:tc>
          <w:tcPr>
            <w:tcW w:w="15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3040" w:type="dxa"/>
            <w:vAlign w:val="bottom"/>
            <w:gridSpan w:val="2"/>
          </w:tcPr>
          <w:p>
            <w:pPr>
              <w:spacing w:after="0" w:line="167" w:lineRule="exact"/>
              <w:rPr>
                <w:sz w:val="20"/>
                <w:szCs w:val="20"/>
                <w:color w:val="auto"/>
              </w:rPr>
            </w:pPr>
            <w:r>
              <w:rPr>
                <w:rFonts w:ascii="Times New Roman" w:cs="Times New Roman" w:eastAsia="Times New Roman" w:hAnsi="Times New Roman"/>
                <w:sz w:val="18"/>
                <w:szCs w:val="18"/>
                <w:color w:val="auto"/>
              </w:rPr>
              <w:t>Fund LP</w:t>
            </w:r>
          </w:p>
        </w:tc>
        <w:tc>
          <w:tcPr>
            <w:tcW w:w="1220" w:type="dxa"/>
            <w:vAlign w:val="bottom"/>
            <w:vMerge w:val="continue"/>
          </w:tcPr>
          <w:p>
            <w:pPr>
              <w:spacing w:after="0"/>
              <w:rPr>
                <w:sz w:val="14"/>
                <w:szCs w:val="14"/>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(15)</w:t>
            </w:r>
          </w:p>
        </w:tc>
        <w:tc>
          <w:tcPr>
            <w:tcW w:w="180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Rule 13d-3 under the Exchange Act and is presented as of March 31, 2026, based on 24,570,241 shares of Common Stock outstanding. The number of shares beneficially owned prior to the offering includes shares underlying the Warrants that are exercisable within 60 days of the measurement date and gives effect to any beneficial ownership limitations contained in such Warrants.</w:t>
      </w:r>
    </w:p>
    <w:p>
      <w:pPr>
        <w:spacing w:after="0" w:line="179"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calculated for each selling stockholder by dividing the number of shares beneficially owned by such selling stockholder by the sum of (i) 24,570,241 and (ii) the number of shares underlying securities deemed beneficially owned by such selling stockholder pursuant to Rule 13d-3.</w:t>
      </w:r>
    </w:p>
    <w:p>
      <w:pPr>
        <w:spacing w:after="0" w:line="161"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5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number of shares of Common Stock registered, including all of the shares of Common Stock issuable upon exercise of the Warrants, and gives no effect to any beneficial ownership limitation contained in the Warrants.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2,250,000 shares of Common Stock.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Polar Asset Management Partners Inc. is 16 York Street, Suite 2900, Toronto, Ontario M5J 0E6, Canada.</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Heights Capital Management, Inc. is 101 California Street, Suite 3250, San Francisco, California 94111.</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562,500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Hudson Bay Master Fund Ltd. is 290 Harbor Drive, 3rd Floor, Stamford, CT 06902.</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495,000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Intracoastal Capital LLC. is 245 Palm Trail, Delray Beach, Florida 33483.</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262,500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Robert Forster is 54 Deepdale Dr., Great Neck, NY 11021.</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195,000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KBB Asset Management LLC is 253 West 73rd Street, Unit 4C, New York, NY 10023.</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150,000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Mank Capital, LLC is 347 West 87th Street, Apt. 2R, New York, NY 10024.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61" w:gutter="0" w:footer="0" w:header="0"/>
        </w:sectPr>
      </w:pPr>
    </w:p>
    <w:bookmarkStart w:id="11" w:name="page12"/>
    <w:bookmarkEnd w:id="11"/>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112,500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Aramas Capital Management LLC is 19 Orchard Street, Manhasset, NY 11030 .</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85,756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Emerging Energy QP, LP is 385 Homer Avenue, Palo Alto, CA 94301.</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45,000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Boothbay Absolute Return Strategies, LP is 140 East 45th Street, 16th Floor, New York, NY 10017.</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19,244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Connective Capital I QP, LP is 385 Homer Avenue, Palo Alto, CA 94301.</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Warrants to purchase up to 11,250 shares of Common Stock.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Kingsbrook Opportunities Master Fund LP is 689 Fifth Avenue, 12th Floor, New York, NY 10022.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Nasdaq under the symbol “SEV.”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The descriptions of our capital stock reflect changes that will be in effect prior to the effectiveness of the registration statement of which this prospectus forms a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20, 2026, the authorized capital stock of the Company consists of 305,000,000 shares of common stock, par value $0.0001 per share, 190,000,000 of which shares are designated as “Class A common stock” and 115,000,000 of which shares are designated as “Class B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20, 2026, the Company has the following outstanding securities: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12,026,870 shares of Class A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24,570,241 shares of Class B Common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has voting rights and our Class B common stock does not have voting rights under our Amended Charter. See “Common Stock - Voting Rights” and “Preferred Stock - Voting Rights” below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B common stock is non-voting and is not entitled to any votes on any matter that is submitted to a vote of our stockholders, except as required by Delaware law, for instance, if we were to:</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par value of the common stock; or</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Amended Charter to alter the powers, preferences, or special rights of the common stock as a whole in a way that would adversely affect the holders of our Class B common stock.</w:t>
      </w:r>
    </w:p>
    <w:p>
      <w:pPr>
        <w:spacing w:after="0" w:line="18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changes in par value, it would require the majority approval of all holders of our common stock to approve such change.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upon and following the “Final Conversion Date” -defined as the date that no shares of Class A common stock remain outstanding-holders of Class B common stock will be entitled to one vote per share.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Class A common stock shall be entitled to elect, remove and replace all directors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Class A common stock is convertible at any time at the option of the holder into one share of Class B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First Refusal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Holders of Aptera’s Class A and Class B common stock have no preemptive, subscription or other rights, and there are no redemption or sinking fund provisions applicable to Aptera’s Class A or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spacing w:after="0" w:line="18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holders of common stock; reducing the likelihood that holders of common stock will receive dividend payments;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common stock will receive payments in the event of our liquidation, dissolution, or winding up;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deterring, or preventing a change-in-control or other corporate takeover.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Classes of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par value of the common stock; or</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our Amended Charter to alter the powers, preferences, or special rights of the common stock as a whole in a way that would adversely affect the holders of our Class B common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upon and following the “Final Conversion Date” -defined as the date that no shares of Class A common stock remain outstanding-holders of Class B common stock will be entitled to one vote per share.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Class A common stock shall be entitled to elect, remove and replace all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Class A common stock is convertible at any time at the option of the holder into one share of Class B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Holders of Aptera’s Class A and Class B common stock have no preemptive, subscription or other rights, and there are no redemption or sinking fund provisions applicable to Aptera’s Class A or Class B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Benefit Corporation Status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Provision of our Certificate of Incorporation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Specifically, our Amended Charter provides that, to the fullest extent permitted by law, the Court of Chancery of the State of Delaware will be the exclusive forum for:</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pursuant to the Delaware General Corporation Law (DGCL), our Amended Charter, or our Bylaws;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do not apply to claims under the Exchange Act which is subject to exclusive federal jurisdiction under Section 27 of the Exchange Act.</w:t>
      </w: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our securities will be deemed to have notice of, and consented to, these exclusive forum provisions, including the federal forum provision.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quoted on Nasdaq under the symbol “SEV.”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Lowenstein Sandler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we maintain a website at the following address: </w:t>
      </w:r>
      <w:r>
        <w:rPr>
          <w:rFonts w:ascii="Times New Roman" w:cs="Times New Roman" w:eastAsia="Times New Roman" w:hAnsi="Times New Roman"/>
          <w:sz w:val="18"/>
          <w:szCs w:val="18"/>
          <w:i w:val="1"/>
          <w:iCs w:val="1"/>
          <w:color w:val="auto"/>
        </w:rPr>
        <w:t>https://aptera.us</w:t>
      </w:r>
      <w:r>
        <w:rPr>
          <w:rFonts w:ascii="Times New Roman" w:cs="Times New Roman" w:eastAsia="Times New Roman" w:hAnsi="Times New Roman"/>
          <w:sz w:val="18"/>
          <w:szCs w:val="18"/>
          <w:color w:val="auto"/>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on March 30,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t>
      </w:r>
      <w:hyperlink r:id="rId29">
        <w:r>
          <w:rPr>
            <w:rFonts w:ascii="Times New Roman" w:cs="Times New Roman" w:eastAsia="Times New Roman" w:hAnsi="Times New Roman"/>
            <w:sz w:val="18"/>
            <w:szCs w:val="18"/>
            <w:u w:val="single" w:color="auto"/>
            <w:color w:val="0000EE"/>
          </w:rPr>
          <w:t>January 26, 2026</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1">
        <w:r>
          <w:rPr>
            <w:rFonts w:ascii="Times New Roman" w:cs="Times New Roman" w:eastAsia="Times New Roman" w:hAnsi="Times New Roman"/>
            <w:sz w:val="18"/>
            <w:szCs w:val="18"/>
            <w:u w:val="single" w:color="auto"/>
            <w:color w:val="0000EE"/>
          </w:rPr>
          <w:t>April 14,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any portions deemed furnished and not filed);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2">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September 30, 2025, including any amendments thereto or reports filed for the purposes of updating this description, including </w:t>
      </w:r>
      <w:hyperlink r:id="rId33">
        <w:r>
          <w:rPr>
            <w:rFonts w:ascii="Times New Roman" w:cs="Times New Roman" w:eastAsia="Times New Roman" w:hAnsi="Times New Roman"/>
            <w:sz w:val="18"/>
            <w:szCs w:val="18"/>
            <w:u w:val="single" w:color="auto"/>
            <w:color w:val="0000EE"/>
          </w:rPr>
          <w:t>Exhibit 4.12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2025, filed with the SEC on March 30, 2026.</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448945</wp:posOffset>
            </wp:positionV>
            <wp:extent cx="1285875" cy="129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APTERA MOTORS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4,751,250 Shares of Class B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Issuable Upon Exercise of Outstanding Warrants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jpeg"/><Relationship Id="rId36" Type="http://schemas.openxmlformats.org/officeDocument/2006/relationships/image" Target="media/image23.png"/><Relationship Id="rId28" Type="http://schemas.openxmlformats.org/officeDocument/2006/relationships/hyperlink" Target="https://www.sec.gov/Archives/edgar/data/1786471/000149315226013581/form10-k.htm" TargetMode="External"/><Relationship Id="rId29" Type="http://schemas.openxmlformats.org/officeDocument/2006/relationships/hyperlink" Target="https://www.sec.gov/Archives/edgar/data/1786471/000149315226003512/form8-k.htm" TargetMode="External"/><Relationship Id="rId30" Type="http://schemas.openxmlformats.org/officeDocument/2006/relationships/hyperlink" Target="https://www.sec.gov/Archives/edgar/data/1786471/000149315226009780/form8-k.htm" TargetMode="External"/><Relationship Id="rId31" Type="http://schemas.openxmlformats.org/officeDocument/2006/relationships/hyperlink" Target="https://www.sec.gov/Archives/edgar/data/1786471/000149315226016473/form8-k.htm" TargetMode="External"/><Relationship Id="rId32" Type="http://schemas.openxmlformats.org/officeDocument/2006/relationships/hyperlink" Target="https://www.sec.gov/Archives/edgar/data/1786471/000149315225016237/form8a12b.htm" TargetMode="External"/><Relationship Id="rId33" Type="http://schemas.openxmlformats.org/officeDocument/2006/relationships/hyperlink" Target="https://www.sec.gov/Archives/edgar/data/1786471/000149315226013581/ex4-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2026-04-21T15:17:40Z</dcterms:created>
  <dcterms:modified xsi:type="dcterms:W3CDTF">2026-04-21T15:17:40Z</dcterms:modified>
</cp:coreProperties>
</file>