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0002086668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Kirton Anthony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13612</w:t>
            </w:r>
          </w:p>
        </w:tc>
        <w:tc>
          <w:tcPr>
            <w:tcW w:w="1377" w:type="dxa"/>
            <w:tcBorders/>
            <w:vAlign w:val="center"/>
          </w:tcPr>
          <w:p>
            <w:pPr>
              <w:pStyle w:val="TableContents"/>
              <w:bidi w:val="0"/>
              <w:spacing w:before="0" w:after="283"/>
              <w:jc w:val="left"/>
              <w:rPr/>
            </w:pPr>
            <w:r>
              <w:rPr/>
              <w:t>28510.33</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10/29/2025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13612</w:t>
            </w:r>
          </w:p>
        </w:tc>
        <w:tc>
          <w:tcPr>
            <w:tcW w:w="1070" w:type="dxa"/>
            <w:tcBorders/>
            <w:vAlign w:val="center"/>
          </w:tcPr>
          <w:p>
            <w:pPr>
              <w:pStyle w:val="TableContents"/>
              <w:bidi w:val="0"/>
              <w:spacing w:before="0" w:after="283"/>
              <w:jc w:val="left"/>
              <w:rPr/>
            </w:pPr>
            <w:r>
              <w:rPr/>
              <w:t>10/29/2025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 Adam Gehring, as a duly authorized representative of Fidelity Brokerage Services LLC, as attorney-in-fact for Anthony Kirton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3095</Characters>
  <CharactersWithSpaces>3647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