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April 9, 2026</w:t>
      </w:r>
    </w:p>
    <w:p>
      <w:pPr>
        <w:spacing w:after="0" w:line="17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16153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170815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APTERA MOTORS CORP.</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60" w:lineRule="exact"/>
        <w:rPr>
          <w:sz w:val="24"/>
          <w:szCs w:val="24"/>
          <w:color w:val="auto"/>
        </w:rPr>
      </w:pPr>
    </w:p>
    <w:tbl>
      <w:tblPr>
        <w:tblLayout w:type="fixed"/>
        <w:tblInd w:w="900" w:type="dxa"/>
        <w:tblCellMar>
          <w:top w:w="0" w:type="dxa"/>
          <w:left w:w="0" w:type="dxa"/>
          <w:bottom w:w="0" w:type="dxa"/>
          <w:right w:w="0" w:type="dxa"/>
        </w:tblCellMar>
      </w:tblPr>
      <w:tr>
        <w:trPr>
          <w:trHeight w:val="170"/>
        </w:trPr>
        <w:tc>
          <w:tcPr>
            <w:tcW w:w="2840" w:type="dxa"/>
            <w:vAlign w:val="bottom"/>
          </w:tcPr>
          <w:p>
            <w:pPr>
              <w:jc w:val="center"/>
              <w:ind w:right="94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3751</w:t>
            </w:r>
          </w:p>
        </w:tc>
        <w:tc>
          <w:tcPr>
            <w:tcW w:w="2520" w:type="dxa"/>
            <w:vAlign w:val="bottom"/>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83-4079594</w:t>
            </w:r>
          </w:p>
        </w:tc>
      </w:tr>
      <w:tr>
        <w:trPr>
          <w:trHeight w:val="170"/>
        </w:trPr>
        <w:tc>
          <w:tcPr>
            <w:tcW w:w="2840" w:type="dxa"/>
            <w:vAlign w:val="bottom"/>
          </w:tcPr>
          <w:p>
            <w:pPr>
              <w:jc w:val="center"/>
              <w:ind w:right="94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9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520" w:type="dxa"/>
            <w:vAlign w:val="bottom"/>
          </w:tcPr>
          <w:p>
            <w:pPr>
              <w:jc w:val="center"/>
              <w:ind w:left="106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840" w:type="dxa"/>
            <w:vAlign w:val="bottom"/>
          </w:tcPr>
          <w:p>
            <w:pPr>
              <w:jc w:val="center"/>
              <w:ind w:right="92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9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520" w:type="dxa"/>
            <w:vAlign w:val="bottom"/>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5818 El Camino Real</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Carlsbad, California 92008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858-371-3151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Chris Anthony</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Aptera Motors Corp.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5818 El Camino Real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Carlsbad, California 92008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858-371-3151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Traci M. Tomaselli, Esq.</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Daniel L. Forman,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Stephen G. Zapf,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Lowenstein Sandler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1251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NY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(646) 414-6926</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From time to time after this Registration Statement becomes effective, as determined by the selling stockholders</w:t>
      </w:r>
    </w:p>
    <w:p>
      <w:pPr>
        <w:spacing w:after="0" w:line="164"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4"/>
          <w:szCs w:val="14"/>
          <w:color w:val="auto"/>
        </w:rPr>
        <w:t>☒</w:t>
      </w:r>
    </w:p>
    <w:p>
      <w:pPr>
        <w:spacing w:after="0" w:line="135"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3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0"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3"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716153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77" w:right="319" w:bottom="1440" w:gutter="0" w:footer="0" w:header="0"/>
        </w:sectPr>
      </w:pPr>
    </w:p>
    <w:bookmarkStart w:id="1" w:name="page2"/>
    <w:bookmarkEnd w:id="1"/>
    <w:p>
      <w:pPr>
        <w:jc w:val="both"/>
        <w:spacing w:after="0" w:line="271" w:lineRule="auto"/>
        <w:rPr>
          <w:sz w:val="20"/>
          <w:szCs w:val="20"/>
          <w:color w:val="auto"/>
        </w:rPr>
      </w:pPr>
      <w:r>
        <w:rPr>
          <w:rFonts w:ascii="Times New Roman" w:cs="Times New Roman" w:eastAsia="Times New Roman" w:hAnsi="Times New Roman"/>
          <w:sz w:val="14"/>
          <w:szCs w:val="14"/>
          <w:b w:val="1"/>
          <w:bCs w:val="1"/>
          <w:color w:val="FF0000"/>
        </w:rPr>
        <w:t>The information in this preliminary prospectus is not complete and may be changed. The Selling Stockholders may not resell these securities until the registration statement filed with the Securities and Exchange Commission is effective. This preliminary prospectus is not an offer to sell these securities, nor is it a solicitation of offers to buy these securities, in any state where the offer or sale is not permitted.</w:t>
      </w:r>
    </w:p>
    <w:p>
      <w:pPr>
        <w:spacing w:after="0" w:line="133" w:lineRule="exact"/>
        <w:rPr>
          <w:sz w:val="20"/>
          <w:szCs w:val="20"/>
          <w:color w:val="auto"/>
        </w:rPr>
      </w:pPr>
    </w:p>
    <w:p>
      <w:pPr>
        <w:ind w:left="880"/>
        <w:spacing w:after="0"/>
        <w:tabs>
          <w:tab w:leader="none" w:pos="4680" w:val="left"/>
          <w:tab w:leader="none" w:pos="8700" w:val="left"/>
        </w:tabs>
        <w:rPr>
          <w:sz w:val="20"/>
          <w:szCs w:val="20"/>
          <w:color w:val="auto"/>
        </w:rPr>
      </w:pPr>
      <w:r>
        <w:rPr>
          <w:rFonts w:ascii="Times New Roman" w:cs="Times New Roman" w:eastAsia="Times New Roman" w:hAnsi="Times New Roman"/>
          <w:sz w:val="14"/>
          <w:szCs w:val="14"/>
          <w:b w:val="1"/>
          <w:bCs w:val="1"/>
          <w:color w:val="FF0000"/>
        </w:rPr>
        <w:t>PRELIMINARY PROSPECTUS</w:t>
      </w:r>
      <w:r>
        <w:rPr>
          <w:sz w:val="20"/>
          <w:szCs w:val="20"/>
          <w:color w:val="auto"/>
        </w:rPr>
        <w:tab/>
      </w:r>
      <w:r>
        <w:rPr>
          <w:rFonts w:ascii="Times New Roman" w:cs="Times New Roman" w:eastAsia="Times New Roman" w:hAnsi="Times New Roman"/>
          <w:sz w:val="14"/>
          <w:szCs w:val="14"/>
          <w:b w:val="1"/>
          <w:bCs w:val="1"/>
          <w:color w:val="FF0000"/>
        </w:rPr>
        <w:t>SUBJECT TO COMPLETION</w:t>
      </w:r>
      <w:r>
        <w:rPr>
          <w:sz w:val="20"/>
          <w:szCs w:val="20"/>
          <w:color w:val="auto"/>
        </w:rPr>
        <w:tab/>
      </w:r>
      <w:r>
        <w:rPr>
          <w:rFonts w:ascii="Times New Roman" w:cs="Times New Roman" w:eastAsia="Times New Roman" w:hAnsi="Times New Roman"/>
          <w:sz w:val="14"/>
          <w:szCs w:val="14"/>
          <w:b w:val="1"/>
          <w:bCs w:val="1"/>
          <w:color w:val="FF0000"/>
        </w:rPr>
        <w:t>DATED APRIL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123825</wp:posOffset>
            </wp:positionV>
            <wp:extent cx="1009650" cy="1016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9650" cy="101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APTERA MOTORS CORP.</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4,751,250 Shares of Class B Common Stock</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Issuable Upon Exercise of Outstanding Warrants</w:t>
      </w:r>
    </w:p>
    <w:p>
      <w:pPr>
        <w:spacing w:after="0" w:line="18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This prospectus relates to the resale of up to 4,751,250 shares of Aptera Motors Corp. (the “Company,” “we,” “our” or “us”) Class B common stock, par value $0.0001 per share (the “Common Stock”), by the Selling Stockholders listed in this prospectus or their permitted transferees (the “Selling Stockholders”). The shares of Common Stock registered for resale pursuant to this prospectus consist of 4,751,250 shares of Common Stock issuable upon the exercise of warrants (the “Warrants”). The Warrants were issued to the Selling Stockholders in a private placement offering (the “Private Placement”) which closed on March 12, 2026.</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additional information about the Private Placement, see “</w:t>
      </w:r>
      <w:r>
        <w:rPr>
          <w:rFonts w:ascii="Times New Roman" w:cs="Times New Roman" w:eastAsia="Times New Roman" w:hAnsi="Times New Roman"/>
          <w:sz w:val="14"/>
          <w:szCs w:val="14"/>
          <w:i w:val="1"/>
          <w:iCs w:val="1"/>
          <w:color w:val="auto"/>
        </w:rPr>
        <w:t>Private Placement</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Warrants have an exercise price of $3.50 per share. The Warrants will be exercisable immediately and will expire on the five (5) year anniversary of their issuance date.</w:t>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Selling Stockholders may, from time to time, sell, transfer or otherwise dispose of any or all of their shares of Common Stock or interests in their shares of Common Stock on any stock exchange, market or trading facility on which the shares of Common Stock are traded or in private transactions. These dispositions may be at fixed prices, at prevailing market prices at the time of sale, at prices related to the prevailing market price, at varying prices determined at the time of sale, or at negotiated prices.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in this prospectus for more information. We will not receive any proceeds from the resale or other disposition of the shares of Common Stock by the Selling Stockholders. However, we will receive the proceeds of any cash exercise of the Warrants. 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beginning on page 10 and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beginning on page 11 of this prospectus for more information.</w:t>
      </w:r>
    </w:p>
    <w:p>
      <w:pPr>
        <w:spacing w:after="0" w:line="14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Our Common Stock is listed on The Nasdaq Capital Market (“Nasdaq”) under the symbol “SEV”. On April 7, 2026, the last reported sale price of our Common Stock as reported on Nasdaq was $2.78.</w:t>
      </w:r>
    </w:p>
    <w:p>
      <w:pPr>
        <w:spacing w:after="0" w:line="123"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4"/>
          <w:szCs w:val="14"/>
          <w:color w:val="auto"/>
        </w:rPr>
        <w:t>You should read this prospectus, together with additional information described under the headings “</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Where You Can Find More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carefully before you invest in any of our securities.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b w:val="1"/>
          <w:bCs w:val="1"/>
          <w:color w:val="auto"/>
        </w:rPr>
        <w:t>An investment in our securities involves a high degree of risk. Before deciding whether to invest in our securities, you should consider carefully the risks and uncertainties described in the section captioned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contained in our Annual Report on Form 10-K for the fiscal year ended December 31, 2025, filed with the Securities and Exchange Commission, or the SEC, on March 30, 2026 and our other filings we make with the Securities and Exchange Commission from time to time, which are incorporated by reference herein in their entirety, together with other information in this prospectus and the information incorporated by reference herein.</w:t>
      </w:r>
    </w:p>
    <w:p>
      <w:pPr>
        <w:spacing w:after="0" w:line="137"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ind w:left="4160"/>
              <w:spacing w:after="0"/>
              <w:rPr>
                <w:sz w:val="20"/>
                <w:szCs w:val="20"/>
                <w:color w:val="auto"/>
              </w:rPr>
            </w:pPr>
            <w:r>
              <w:rPr>
                <w:rFonts w:ascii="Times New Roman" w:cs="Times New Roman" w:eastAsia="Times New Roman" w:hAnsi="Times New Roman"/>
                <w:sz w:val="14"/>
                <w:szCs w:val="14"/>
                <w:color w:val="auto"/>
              </w:rPr>
              <w:t>The date of this prospectus is</w:t>
            </w:r>
          </w:p>
        </w:tc>
        <w:tc>
          <w:tcPr>
            <w:tcW w:w="4980" w:type="dxa"/>
            <w:vAlign w:val="bottom"/>
          </w:tcPr>
          <w:p>
            <w:pPr>
              <w:jc w:val="right"/>
              <w:ind w:right="4089"/>
              <w:spacing w:after="0"/>
              <w:rPr>
                <w:sz w:val="20"/>
                <w:szCs w:val="20"/>
                <w:color w:val="auto"/>
              </w:rPr>
            </w:pPr>
            <w:r>
              <w:rPr>
                <w:rFonts w:ascii="Times New Roman" w:cs="Times New Roman" w:eastAsia="Times New Roman" w:hAnsi="Times New Roman"/>
                <w:sz w:val="14"/>
                <w:szCs w:val="14"/>
                <w:color w:val="auto"/>
              </w:rPr>
              <w:t>, 2026</w:t>
            </w:r>
          </w:p>
        </w:tc>
      </w:tr>
      <w:tr>
        <w:trPr>
          <w:trHeight w:val="340"/>
        </w:trPr>
        <w:tc>
          <w:tcPr>
            <w:tcW w:w="63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8"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170"/>
        </w:trPr>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560" w:type="dxa"/>
            <w:vAlign w:val="bottom"/>
          </w:tcPr>
          <w:p>
            <w:pPr>
              <w:spacing w:after="0"/>
              <w:rPr>
                <w:sz w:val="14"/>
                <w:szCs w:val="14"/>
                <w:color w:val="auto"/>
              </w:rPr>
            </w:pPr>
          </w:p>
        </w:tc>
      </w:tr>
      <w:tr>
        <w:trPr>
          <w:trHeight w:val="150"/>
        </w:trPr>
        <w:tc>
          <w:tcPr>
            <w:tcW w:w="4720" w:type="dxa"/>
            <w:vAlign w:val="bottom"/>
            <w:gridSpan w:val="13"/>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0000EE"/>
              </w:rPr>
              <w:t>PROSPECTUS SUMMARY</w:t>
            </w:r>
          </w:p>
        </w:tc>
        <w:tc>
          <w:tcPr>
            <w:tcW w:w="6560" w:type="dxa"/>
            <w:vAlign w:val="bottom"/>
            <w:shd w:val="clear" w:color="auto" w:fill="CCEEFF"/>
          </w:tcPr>
          <w:p>
            <w:pPr>
              <w:ind w:left="6060"/>
              <w:spacing w:after="0" w:line="138" w:lineRule="exact"/>
              <w:rPr>
                <w:sz w:val="20"/>
                <w:szCs w:val="20"/>
                <w:color w:val="auto"/>
              </w:rPr>
            </w:pPr>
            <w:r>
              <w:rPr>
                <w:rFonts w:ascii="Times New Roman" w:cs="Times New Roman" w:eastAsia="Times New Roman" w:hAnsi="Times New Roman"/>
                <w:sz w:val="14"/>
                <w:szCs w:val="14"/>
                <w:color w:val="auto"/>
              </w:rPr>
              <w:t>1</w:t>
            </w:r>
          </w:p>
        </w:tc>
      </w:tr>
      <w:tr>
        <w:trPr>
          <w:trHeight w:val="138"/>
        </w:trPr>
        <w:tc>
          <w:tcPr>
            <w:tcW w:w="1640" w:type="dxa"/>
            <w:vAlign w:val="bottom"/>
            <w:tcBorders>
              <w:top w:val="single" w:sz="8" w:color="0000EE"/>
            </w:tcBorders>
            <w:gridSpan w:val="7"/>
          </w:tcPr>
          <w:p>
            <w:pPr>
              <w:spacing w:after="0" w:line="138" w:lineRule="exact"/>
              <w:rPr>
                <w:sz w:val="20"/>
                <w:szCs w:val="20"/>
                <w:color w:val="auto"/>
              </w:rPr>
            </w:pPr>
            <w:r>
              <w:rPr>
                <w:rFonts w:ascii="Times New Roman" w:cs="Times New Roman" w:eastAsia="Times New Roman" w:hAnsi="Times New Roman"/>
                <w:sz w:val="14"/>
                <w:szCs w:val="14"/>
                <w:color w:val="0000EE"/>
              </w:rPr>
              <w:t>RISK FACTORS</w:t>
            </w:r>
          </w:p>
        </w:tc>
        <w:tc>
          <w:tcPr>
            <w:tcW w:w="3080" w:type="dxa"/>
            <w:vAlign w:val="bottom"/>
            <w:tcBorders>
              <w:top w:val="single" w:sz="8" w:color="CCEEFF"/>
            </w:tcBorders>
            <w:gridSpan w:val="6"/>
          </w:tcPr>
          <w:p>
            <w:pPr>
              <w:spacing w:after="0"/>
              <w:rPr>
                <w:sz w:val="11"/>
                <w:szCs w:val="11"/>
                <w:color w:val="auto"/>
              </w:rPr>
            </w:pPr>
          </w:p>
        </w:tc>
        <w:tc>
          <w:tcPr>
            <w:tcW w:w="6560" w:type="dxa"/>
            <w:vAlign w:val="bottom"/>
            <w:tcBorders>
              <w:top w:val="single" w:sz="8" w:color="CCEEFF"/>
            </w:tcBorders>
          </w:tcPr>
          <w:p>
            <w:pPr>
              <w:ind w:left="6060"/>
              <w:spacing w:after="0" w:line="138" w:lineRule="exact"/>
              <w:rPr>
                <w:sz w:val="20"/>
                <w:szCs w:val="20"/>
                <w:color w:val="auto"/>
              </w:rPr>
            </w:pPr>
            <w:r>
              <w:rPr>
                <w:rFonts w:ascii="Times New Roman" w:cs="Times New Roman" w:eastAsia="Times New Roman" w:hAnsi="Times New Roman"/>
                <w:sz w:val="14"/>
                <w:szCs w:val="14"/>
                <w:color w:val="auto"/>
              </w:rPr>
              <w:t>5</w:t>
            </w:r>
          </w:p>
        </w:tc>
      </w:tr>
      <w:tr>
        <w:trPr>
          <w:trHeight w:val="26"/>
        </w:trPr>
        <w:tc>
          <w:tcPr>
            <w:tcW w:w="6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155"/>
        </w:trPr>
        <w:tc>
          <w:tcPr>
            <w:tcW w:w="4720" w:type="dxa"/>
            <w:vAlign w:val="bottom"/>
            <w:gridSpan w:val="1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6560" w:type="dxa"/>
            <w:vAlign w:val="bottom"/>
            <w:shd w:val="clear" w:color="auto" w:fill="CCEEFF"/>
          </w:tcPr>
          <w:p>
            <w:pPr>
              <w:ind w:left="6060"/>
              <w:spacing w:after="0" w:line="144" w:lineRule="exact"/>
              <w:rPr>
                <w:sz w:val="20"/>
                <w:szCs w:val="20"/>
                <w:color w:val="auto"/>
              </w:rPr>
            </w:pPr>
            <w:r>
              <w:rPr>
                <w:rFonts w:ascii="Times New Roman" w:cs="Times New Roman" w:eastAsia="Times New Roman" w:hAnsi="Times New Roman"/>
                <w:sz w:val="14"/>
                <w:szCs w:val="14"/>
                <w:color w:val="auto"/>
              </w:rPr>
              <w:t>6</w:t>
            </w:r>
          </w:p>
        </w:tc>
      </w:tr>
      <w:tr>
        <w:trPr>
          <w:trHeight w:val="144"/>
        </w:trPr>
        <w:tc>
          <w:tcPr>
            <w:tcW w:w="1460" w:type="dxa"/>
            <w:vAlign w:val="bottom"/>
            <w:tcBorders>
              <w:top w:val="single" w:sz="8" w:color="0000EE"/>
              <w:bottom w:val="single" w:sz="8" w:color="0000EE"/>
            </w:tcBorders>
            <w:gridSpan w:val="5"/>
          </w:tcPr>
          <w:p>
            <w:pPr>
              <w:spacing w:after="0" w:line="138" w:lineRule="exact"/>
              <w:rPr>
                <w:sz w:val="20"/>
                <w:szCs w:val="20"/>
                <w:color w:val="auto"/>
              </w:rPr>
            </w:pPr>
            <w:r>
              <w:rPr>
                <w:rFonts w:ascii="Times New Roman" w:cs="Times New Roman" w:eastAsia="Times New Roman" w:hAnsi="Times New Roman"/>
                <w:sz w:val="14"/>
                <w:szCs w:val="14"/>
                <w:color w:val="0000EE"/>
                <w:w w:val="98"/>
              </w:rPr>
              <w:t>PRIVATE PLACEMENT</w:t>
            </w:r>
          </w:p>
        </w:tc>
        <w:tc>
          <w:tcPr>
            <w:tcW w:w="3080" w:type="dxa"/>
            <w:vAlign w:val="bottom"/>
            <w:tcBorders>
              <w:top w:val="single" w:sz="8" w:color="0000EE"/>
            </w:tcBorders>
            <w:gridSpan w:val="7"/>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560" w:type="dxa"/>
            <w:vAlign w:val="bottom"/>
            <w:tcBorders>
              <w:top w:val="single" w:sz="8" w:color="CCEEFF"/>
            </w:tcBorders>
          </w:tcPr>
          <w:p>
            <w:pPr>
              <w:ind w:left="6060"/>
              <w:spacing w:after="0" w:line="138" w:lineRule="exact"/>
              <w:rPr>
                <w:sz w:val="20"/>
                <w:szCs w:val="20"/>
                <w:color w:val="auto"/>
              </w:rPr>
            </w:pPr>
            <w:r>
              <w:rPr>
                <w:rFonts w:ascii="Times New Roman" w:cs="Times New Roman" w:eastAsia="Times New Roman" w:hAnsi="Times New Roman"/>
                <w:sz w:val="14"/>
                <w:szCs w:val="14"/>
                <w:color w:val="auto"/>
              </w:rPr>
              <w:t>7</w:t>
            </w:r>
          </w:p>
        </w:tc>
      </w:tr>
      <w:tr>
        <w:trPr>
          <w:trHeight w:val="156"/>
        </w:trPr>
        <w:tc>
          <w:tcPr>
            <w:tcW w:w="4720" w:type="dxa"/>
            <w:vAlign w:val="bottom"/>
            <w:gridSpan w:val="1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SELLING STOCKHOLDERS</w:t>
            </w:r>
          </w:p>
        </w:tc>
        <w:tc>
          <w:tcPr>
            <w:tcW w:w="6560" w:type="dxa"/>
            <w:vAlign w:val="bottom"/>
            <w:shd w:val="clear" w:color="auto" w:fill="CCEEFF"/>
          </w:tcPr>
          <w:p>
            <w:pPr>
              <w:ind w:left="6060"/>
              <w:spacing w:after="0" w:line="144" w:lineRule="exact"/>
              <w:rPr>
                <w:sz w:val="20"/>
                <w:szCs w:val="20"/>
                <w:color w:val="auto"/>
              </w:rPr>
            </w:pPr>
            <w:r>
              <w:rPr>
                <w:rFonts w:ascii="Times New Roman" w:cs="Times New Roman" w:eastAsia="Times New Roman" w:hAnsi="Times New Roman"/>
                <w:sz w:val="14"/>
                <w:szCs w:val="14"/>
                <w:color w:val="auto"/>
              </w:rPr>
              <w:t>8</w:t>
            </w:r>
          </w:p>
        </w:tc>
      </w:tr>
      <w:tr>
        <w:trPr>
          <w:trHeight w:val="138"/>
        </w:trPr>
        <w:tc>
          <w:tcPr>
            <w:tcW w:w="1740" w:type="dxa"/>
            <w:vAlign w:val="bottom"/>
            <w:tcBorders>
              <w:top w:val="single" w:sz="8" w:color="0000EE"/>
            </w:tcBorders>
            <w:gridSpan w:val="8"/>
          </w:tcPr>
          <w:p>
            <w:pPr>
              <w:spacing w:after="0" w:line="138" w:lineRule="exact"/>
              <w:rPr>
                <w:sz w:val="20"/>
                <w:szCs w:val="20"/>
                <w:color w:val="auto"/>
              </w:rPr>
            </w:pPr>
            <w:r>
              <w:rPr>
                <w:rFonts w:ascii="Times New Roman" w:cs="Times New Roman" w:eastAsia="Times New Roman" w:hAnsi="Times New Roman"/>
                <w:sz w:val="14"/>
                <w:szCs w:val="14"/>
                <w:color w:val="0000EE"/>
              </w:rPr>
              <w:t>USE OF PROCEEDS</w:t>
            </w:r>
          </w:p>
        </w:tc>
        <w:tc>
          <w:tcPr>
            <w:tcW w:w="2980" w:type="dxa"/>
            <w:vAlign w:val="bottom"/>
            <w:tcBorders>
              <w:top w:val="single" w:sz="8" w:color="CCEEFF"/>
            </w:tcBorders>
            <w:gridSpan w:val="5"/>
          </w:tcPr>
          <w:p>
            <w:pPr>
              <w:spacing w:after="0"/>
              <w:rPr>
                <w:sz w:val="11"/>
                <w:szCs w:val="11"/>
                <w:color w:val="auto"/>
              </w:rPr>
            </w:pPr>
          </w:p>
        </w:tc>
        <w:tc>
          <w:tcPr>
            <w:tcW w:w="6560" w:type="dxa"/>
            <w:vAlign w:val="bottom"/>
            <w:tcBorders>
              <w:top w:val="single" w:sz="8" w:color="CCEEFF"/>
            </w:tcBorders>
          </w:tcPr>
          <w:p>
            <w:pPr>
              <w:ind w:left="6060"/>
              <w:spacing w:after="0" w:line="138" w:lineRule="exact"/>
              <w:rPr>
                <w:sz w:val="20"/>
                <w:szCs w:val="20"/>
                <w:color w:val="auto"/>
              </w:rPr>
            </w:pPr>
            <w:r>
              <w:rPr>
                <w:rFonts w:ascii="Times New Roman" w:cs="Times New Roman" w:eastAsia="Times New Roman" w:hAnsi="Times New Roman"/>
                <w:sz w:val="14"/>
                <w:szCs w:val="14"/>
                <w:color w:val="auto"/>
              </w:rPr>
              <w:t>10</w:t>
            </w:r>
          </w:p>
        </w:tc>
      </w:tr>
      <w:tr>
        <w:trPr>
          <w:trHeight w:val="26"/>
        </w:trPr>
        <w:tc>
          <w:tcPr>
            <w:tcW w:w="6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156"/>
        </w:trPr>
        <w:tc>
          <w:tcPr>
            <w:tcW w:w="1620" w:type="dxa"/>
            <w:vAlign w:val="bottom"/>
            <w:tcBorders>
              <w:bottom w:val="single" w:sz="8" w:color="0000EE"/>
            </w:tcBorders>
            <w:gridSpan w:val="6"/>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PLAN OF DISTRIBUTION</w:t>
            </w:r>
          </w:p>
        </w:tc>
        <w:tc>
          <w:tcPr>
            <w:tcW w:w="3100" w:type="dxa"/>
            <w:vAlign w:val="bottom"/>
            <w:tcBorders>
              <w:bottom w:val="single" w:sz="8" w:color="CCEEFF"/>
            </w:tcBorders>
            <w:gridSpan w:val="7"/>
            <w:shd w:val="clear" w:color="auto" w:fill="CCEEFF"/>
          </w:tcPr>
          <w:p>
            <w:pPr>
              <w:spacing w:after="0"/>
              <w:rPr>
                <w:sz w:val="13"/>
                <w:szCs w:val="13"/>
                <w:color w:val="auto"/>
              </w:rPr>
            </w:pPr>
          </w:p>
        </w:tc>
        <w:tc>
          <w:tcPr>
            <w:tcW w:w="6560" w:type="dxa"/>
            <w:vAlign w:val="bottom"/>
            <w:tcBorders>
              <w:bottom w:val="single" w:sz="8" w:color="CCEEFF"/>
            </w:tcBorders>
            <w:shd w:val="clear" w:color="auto" w:fill="CCEEFF"/>
          </w:tcPr>
          <w:p>
            <w:pPr>
              <w:ind w:left="6060"/>
              <w:spacing w:after="0" w:line="144" w:lineRule="exact"/>
              <w:rPr>
                <w:sz w:val="20"/>
                <w:szCs w:val="20"/>
                <w:color w:val="auto"/>
              </w:rPr>
            </w:pPr>
            <w:r>
              <w:rPr>
                <w:rFonts w:ascii="Times New Roman" w:cs="Times New Roman" w:eastAsia="Times New Roman" w:hAnsi="Times New Roman"/>
                <w:sz w:val="14"/>
                <w:szCs w:val="14"/>
                <w:color w:val="auto"/>
              </w:rPr>
              <w:t>11</w:t>
            </w:r>
          </w:p>
        </w:tc>
      </w:tr>
      <w:tr>
        <w:trPr>
          <w:trHeight w:val="144"/>
        </w:trPr>
        <w:tc>
          <w:tcPr>
            <w:tcW w:w="1980" w:type="dxa"/>
            <w:vAlign w:val="bottom"/>
            <w:tcBorders>
              <w:bottom w:val="single" w:sz="8" w:color="0000EE"/>
            </w:tcBorders>
            <w:gridSpan w:val="9"/>
          </w:tcPr>
          <w:p>
            <w:pPr>
              <w:spacing w:after="0" w:line="138" w:lineRule="exact"/>
              <w:rPr>
                <w:sz w:val="20"/>
                <w:szCs w:val="20"/>
                <w:color w:val="auto"/>
              </w:rPr>
            </w:pPr>
            <w:r>
              <w:rPr>
                <w:rFonts w:ascii="Times New Roman" w:cs="Times New Roman" w:eastAsia="Times New Roman" w:hAnsi="Times New Roman"/>
                <w:sz w:val="14"/>
                <w:szCs w:val="14"/>
                <w:color w:val="0000EE"/>
              </w:rPr>
              <w:t>DESCRIPTION OF SECURITIES</w:t>
            </w:r>
          </w:p>
        </w:tc>
        <w:tc>
          <w:tcPr>
            <w:tcW w:w="2740" w:type="dxa"/>
            <w:vAlign w:val="bottom"/>
            <w:gridSpan w:val="4"/>
          </w:tcPr>
          <w:p>
            <w:pPr>
              <w:spacing w:after="0"/>
              <w:rPr>
                <w:sz w:val="12"/>
                <w:szCs w:val="12"/>
                <w:color w:val="auto"/>
              </w:rPr>
            </w:pPr>
          </w:p>
        </w:tc>
        <w:tc>
          <w:tcPr>
            <w:tcW w:w="6560" w:type="dxa"/>
            <w:vAlign w:val="bottom"/>
          </w:tcPr>
          <w:p>
            <w:pPr>
              <w:ind w:left="6060"/>
              <w:spacing w:after="0" w:line="138" w:lineRule="exact"/>
              <w:rPr>
                <w:sz w:val="20"/>
                <w:szCs w:val="20"/>
                <w:color w:val="auto"/>
              </w:rPr>
            </w:pPr>
            <w:r>
              <w:rPr>
                <w:rFonts w:ascii="Times New Roman" w:cs="Times New Roman" w:eastAsia="Times New Roman" w:hAnsi="Times New Roman"/>
                <w:sz w:val="14"/>
                <w:szCs w:val="14"/>
                <w:color w:val="auto"/>
              </w:rPr>
              <w:t>12</w:t>
            </w:r>
          </w:p>
        </w:tc>
      </w:tr>
      <w:tr>
        <w:trPr>
          <w:trHeight w:val="155"/>
        </w:trPr>
        <w:tc>
          <w:tcPr>
            <w:tcW w:w="4720" w:type="dxa"/>
            <w:vAlign w:val="bottom"/>
            <w:gridSpan w:val="1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LEGAL MATTERS</w:t>
            </w:r>
          </w:p>
        </w:tc>
        <w:tc>
          <w:tcPr>
            <w:tcW w:w="6560" w:type="dxa"/>
            <w:vAlign w:val="bottom"/>
            <w:shd w:val="clear" w:color="auto" w:fill="CCEEFF"/>
          </w:tcPr>
          <w:p>
            <w:pPr>
              <w:ind w:left="6060"/>
              <w:spacing w:after="0" w:line="144" w:lineRule="exact"/>
              <w:rPr>
                <w:sz w:val="20"/>
                <w:szCs w:val="20"/>
                <w:color w:val="auto"/>
              </w:rPr>
            </w:pPr>
            <w:r>
              <w:rPr>
                <w:rFonts w:ascii="Times New Roman" w:cs="Times New Roman" w:eastAsia="Times New Roman" w:hAnsi="Times New Roman"/>
                <w:sz w:val="14"/>
                <w:szCs w:val="14"/>
                <w:color w:val="auto"/>
              </w:rPr>
              <w:t>17</w:t>
            </w:r>
          </w:p>
        </w:tc>
      </w:tr>
      <w:tr>
        <w:trPr>
          <w:trHeight w:val="138"/>
        </w:trPr>
        <w:tc>
          <w:tcPr>
            <w:tcW w:w="1140" w:type="dxa"/>
            <w:vAlign w:val="bottom"/>
            <w:tcBorders>
              <w:top w:val="single" w:sz="8" w:color="0000EE"/>
            </w:tcBorders>
            <w:gridSpan w:val="3"/>
          </w:tcPr>
          <w:p>
            <w:pPr>
              <w:spacing w:after="0" w:line="138" w:lineRule="exact"/>
              <w:rPr>
                <w:sz w:val="20"/>
                <w:szCs w:val="20"/>
                <w:color w:val="auto"/>
              </w:rPr>
            </w:pPr>
            <w:r>
              <w:rPr>
                <w:rFonts w:ascii="Times New Roman" w:cs="Times New Roman" w:eastAsia="Times New Roman" w:hAnsi="Times New Roman"/>
                <w:sz w:val="14"/>
                <w:szCs w:val="14"/>
                <w:color w:val="0000EE"/>
              </w:rPr>
              <w:t>EXPERTS</w:t>
            </w:r>
          </w:p>
        </w:tc>
        <w:tc>
          <w:tcPr>
            <w:tcW w:w="3580" w:type="dxa"/>
            <w:vAlign w:val="bottom"/>
            <w:tcBorders>
              <w:top w:val="single" w:sz="8" w:color="CCEEFF"/>
            </w:tcBorders>
            <w:gridSpan w:val="10"/>
          </w:tcPr>
          <w:p>
            <w:pPr>
              <w:spacing w:after="0"/>
              <w:rPr>
                <w:sz w:val="11"/>
                <w:szCs w:val="11"/>
                <w:color w:val="auto"/>
              </w:rPr>
            </w:pPr>
          </w:p>
        </w:tc>
        <w:tc>
          <w:tcPr>
            <w:tcW w:w="6560" w:type="dxa"/>
            <w:vAlign w:val="bottom"/>
            <w:tcBorders>
              <w:top w:val="single" w:sz="8" w:color="CCEEFF"/>
            </w:tcBorders>
          </w:tcPr>
          <w:p>
            <w:pPr>
              <w:ind w:left="6060"/>
              <w:spacing w:after="0" w:line="138" w:lineRule="exact"/>
              <w:rPr>
                <w:sz w:val="20"/>
                <w:szCs w:val="20"/>
                <w:color w:val="auto"/>
              </w:rPr>
            </w:pPr>
            <w:r>
              <w:rPr>
                <w:rFonts w:ascii="Times New Roman" w:cs="Times New Roman" w:eastAsia="Times New Roman" w:hAnsi="Times New Roman"/>
                <w:sz w:val="14"/>
                <w:szCs w:val="14"/>
                <w:color w:val="auto"/>
              </w:rPr>
              <w:t>17</w:t>
            </w:r>
          </w:p>
        </w:tc>
      </w:tr>
      <w:tr>
        <w:trPr>
          <w:trHeight w:val="26"/>
        </w:trPr>
        <w:tc>
          <w:tcPr>
            <w:tcW w:w="60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156"/>
        </w:trPr>
        <w:tc>
          <w:tcPr>
            <w:tcW w:w="3000" w:type="dxa"/>
            <w:vAlign w:val="bottom"/>
            <w:tcBorders>
              <w:bottom w:val="single" w:sz="8" w:color="0000EE"/>
            </w:tcBorders>
            <w:gridSpan w:val="10"/>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1720" w:type="dxa"/>
            <w:vAlign w:val="bottom"/>
            <w:tcBorders>
              <w:bottom w:val="single" w:sz="8" w:color="CCEEFF"/>
            </w:tcBorders>
            <w:gridSpan w:val="3"/>
            <w:shd w:val="clear" w:color="auto" w:fill="CCEEFF"/>
          </w:tcPr>
          <w:p>
            <w:pPr>
              <w:spacing w:after="0"/>
              <w:rPr>
                <w:sz w:val="13"/>
                <w:szCs w:val="13"/>
                <w:color w:val="auto"/>
              </w:rPr>
            </w:pPr>
          </w:p>
        </w:tc>
        <w:tc>
          <w:tcPr>
            <w:tcW w:w="6560" w:type="dxa"/>
            <w:vAlign w:val="bottom"/>
            <w:tcBorders>
              <w:bottom w:val="single" w:sz="8" w:color="CCEEFF"/>
            </w:tcBorders>
            <w:shd w:val="clear" w:color="auto" w:fill="CCEEFF"/>
          </w:tcPr>
          <w:p>
            <w:pPr>
              <w:ind w:left="6060"/>
              <w:spacing w:after="0" w:line="144" w:lineRule="exact"/>
              <w:rPr>
                <w:sz w:val="20"/>
                <w:szCs w:val="20"/>
                <w:color w:val="auto"/>
              </w:rPr>
            </w:pPr>
            <w:r>
              <w:rPr>
                <w:rFonts w:ascii="Times New Roman" w:cs="Times New Roman" w:eastAsia="Times New Roman" w:hAnsi="Times New Roman"/>
                <w:sz w:val="14"/>
                <w:szCs w:val="14"/>
                <w:color w:val="auto"/>
              </w:rPr>
              <w:t>17</w:t>
            </w:r>
          </w:p>
        </w:tc>
      </w:tr>
      <w:tr>
        <w:trPr>
          <w:trHeight w:val="138"/>
        </w:trPr>
        <w:tc>
          <w:tcPr>
            <w:tcW w:w="4080" w:type="dxa"/>
            <w:vAlign w:val="bottom"/>
            <w:tcBorders>
              <w:bottom w:val="single" w:sz="8" w:color="0000EE"/>
            </w:tcBorders>
            <w:gridSpan w:val="11"/>
          </w:tcPr>
          <w:p>
            <w:pPr>
              <w:spacing w:after="0" w:line="138" w:lineRule="exact"/>
              <w:rPr>
                <w:sz w:val="20"/>
                <w:szCs w:val="20"/>
                <w:color w:val="auto"/>
              </w:rPr>
            </w:pPr>
            <w:r>
              <w:rPr>
                <w:rFonts w:ascii="Times New Roman" w:cs="Times New Roman" w:eastAsia="Times New Roman" w:hAnsi="Times New Roman"/>
                <w:sz w:val="14"/>
                <w:szCs w:val="14"/>
                <w:color w:val="0000EE"/>
                <w:w w:val="99"/>
              </w:rPr>
              <w:t>INCORPORATION OF CERTAIN INFORMATION BY REFERENCE</w:t>
            </w:r>
          </w:p>
        </w:tc>
        <w:tc>
          <w:tcPr>
            <w:tcW w:w="640" w:type="dxa"/>
            <w:vAlign w:val="bottom"/>
            <w:gridSpan w:val="2"/>
          </w:tcPr>
          <w:p>
            <w:pPr>
              <w:spacing w:after="0"/>
              <w:rPr>
                <w:sz w:val="11"/>
                <w:szCs w:val="11"/>
                <w:color w:val="auto"/>
              </w:rPr>
            </w:pPr>
          </w:p>
        </w:tc>
        <w:tc>
          <w:tcPr>
            <w:tcW w:w="6560" w:type="dxa"/>
            <w:vAlign w:val="bottom"/>
          </w:tcPr>
          <w:p>
            <w:pPr>
              <w:ind w:left="6060"/>
              <w:spacing w:after="0" w:line="138" w:lineRule="exact"/>
              <w:rPr>
                <w:sz w:val="20"/>
                <w:szCs w:val="20"/>
                <w:color w:val="auto"/>
              </w:rPr>
            </w:pPr>
            <w:r>
              <w:rPr>
                <w:rFonts w:ascii="Times New Roman" w:cs="Times New Roman" w:eastAsia="Times New Roman" w:hAnsi="Times New Roman"/>
                <w:sz w:val="14"/>
                <w:szCs w:val="14"/>
                <w:color w:val="auto"/>
              </w:rPr>
              <w:t>18</w:t>
            </w: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and the documents incorporated by reference herein. This summary does not contain all of the information that you should consider before deciding to invest in our securities. You should read this entire prospectus carefully, including the section entitled “Risk Factors” beginning on page 5, our consolidated financial statements and the related notes and the other information incorporated by reference into this prospectus before making an investment decision.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are an automotive technology company focused on developing and manufacturing highly efficient solar electric vehicles (SEVs). Our flagship vehicle, the Aptera, is a three-wheeled, two-passenger vehicle designed for efficiency and sustainability. We believe the Aptera’s unique design, incorporating solar charging capabilities and aerodynamic efficiency, will offer a compelling alternative to conventional vehicles.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Model</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intend to generate revenue primarily through the sale of our SEVs. Our current focus is on completing the development and commencing production of the Aptera. To date, we have not commenced production of our SEVs. We plan to offer various Aptera models with different features and price points. We may also explore other revenue streams in the future, such as providing charging infrastructure or developing related technologies.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Aptera</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Aptera is designed to be a highly efficient vehicle, minimizing energy consumption through its aerodynamic design and lightweight construction. Its integrated solar panels are intended to supplement battery charging, potentially allowing drivers to travel significant distances using only solar power. The Aptera is designed to be a practical and sustainable transportation solution for daily commuting and other driving needs.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Advantages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the Aptera offers several competitive advantages, including:</w:t>
      </w:r>
    </w:p>
    <w:p>
      <w:pPr>
        <w:spacing w:after="0" w:line="176" w:lineRule="exact"/>
        <w:rPr>
          <w:sz w:val="20"/>
          <w:szCs w:val="20"/>
          <w:color w:val="auto"/>
        </w:rPr>
      </w:pPr>
    </w:p>
    <w:p>
      <w:pPr>
        <w:ind w:left="520" w:hanging="261"/>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High Efficiency: </w:t>
      </w:r>
      <w:r>
        <w:rPr>
          <w:rFonts w:ascii="Times New Roman" w:cs="Times New Roman" w:eastAsia="Times New Roman" w:hAnsi="Times New Roman"/>
          <w:sz w:val="14"/>
          <w:szCs w:val="14"/>
          <w:color w:val="auto"/>
        </w:rPr>
        <w:t>The Aptera’s aerodynamic design and lightweight construction contribute to its high energy efficiency.</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Solar Charging: </w:t>
      </w:r>
      <w:r>
        <w:rPr>
          <w:rFonts w:ascii="Times New Roman" w:cs="Times New Roman" w:eastAsia="Times New Roman" w:hAnsi="Times New Roman"/>
          <w:sz w:val="14"/>
          <w:szCs w:val="14"/>
          <w:color w:val="auto"/>
        </w:rPr>
        <w:t>Integrated solar panels provide supplemental charging, potentially reducing reliance on traditional charging infrastructure.</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Unique Design: </w:t>
      </w:r>
      <w:r>
        <w:rPr>
          <w:rFonts w:ascii="Times New Roman" w:cs="Times New Roman" w:eastAsia="Times New Roman" w:hAnsi="Times New Roman"/>
          <w:sz w:val="14"/>
          <w:szCs w:val="14"/>
          <w:color w:val="auto"/>
        </w:rPr>
        <w:t>The Aptera’s distinctive three-wheeled design differentiates it from conventional vehicles.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Sustainability: </w:t>
      </w:r>
      <w:r>
        <w:rPr>
          <w:rFonts w:ascii="Times New Roman" w:cs="Times New Roman" w:eastAsia="Times New Roman" w:hAnsi="Times New Roman"/>
          <w:sz w:val="14"/>
          <w:szCs w:val="14"/>
          <w:color w:val="auto"/>
        </w:rPr>
        <w:t>The Aptera’s electric powertrain and solar charging capabilities contribute to a reduced environmental footprint.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Challenges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face numerous challenges in developing and commercializing the Aptera, including:</w:t>
      </w:r>
    </w:p>
    <w:p>
      <w:pPr>
        <w:spacing w:after="0" w:line="176" w:lineRule="exact"/>
        <w:rPr>
          <w:sz w:val="20"/>
          <w:szCs w:val="20"/>
          <w:color w:val="auto"/>
        </w:rPr>
      </w:pPr>
    </w:p>
    <w:p>
      <w:pPr>
        <w:ind w:left="520" w:hanging="261"/>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Production: </w:t>
      </w:r>
      <w:r>
        <w:rPr>
          <w:rFonts w:ascii="Times New Roman" w:cs="Times New Roman" w:eastAsia="Times New Roman" w:hAnsi="Times New Roman"/>
          <w:sz w:val="14"/>
          <w:szCs w:val="14"/>
          <w:color w:val="auto"/>
        </w:rPr>
        <w:t>We have not yet commenced production of the Aptera and face risks associated with scaling production.</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Competition: </w:t>
      </w:r>
      <w:r>
        <w:rPr>
          <w:rFonts w:ascii="Times New Roman" w:cs="Times New Roman" w:eastAsia="Times New Roman" w:hAnsi="Times New Roman"/>
          <w:sz w:val="14"/>
          <w:szCs w:val="14"/>
          <w:color w:val="auto"/>
        </w:rPr>
        <w:t>The passenger vehicle industry is highly competitive, and we face competition from established automakers and other electric vehicle manufacturers.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Technology: </w:t>
      </w:r>
      <w:r>
        <w:rPr>
          <w:rFonts w:ascii="Times New Roman" w:cs="Times New Roman" w:eastAsia="Times New Roman" w:hAnsi="Times New Roman"/>
          <w:sz w:val="14"/>
          <w:szCs w:val="14"/>
          <w:color w:val="auto"/>
        </w:rPr>
        <w:t>The development of advanced technologies, such as solar charging and battery systems, involves technical risks.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Funding: </w:t>
      </w:r>
      <w:r>
        <w:rPr>
          <w:rFonts w:ascii="Times New Roman" w:cs="Times New Roman" w:eastAsia="Times New Roman" w:hAnsi="Times New Roman"/>
          <w:sz w:val="14"/>
          <w:szCs w:val="14"/>
          <w:color w:val="auto"/>
        </w:rPr>
        <w:t>We will require significant additional capital to fund our operations and achieve our business objectives.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Aptera Motors Corp. was formed on March 4, 2019 under the laws of the state of Delaware, and is a public benefit corporation in Delaware. Our headquarters are located in Carlsbad, California. Our website address is www.aptera.us. The information contained on, or that can be accessed through, our website is not incorporated by reference into, and is not a part of, this prospectus. Investors should not rely on any such information in deciding whether to purchase our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Capital Structure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two classes of authorized common stock - Class B common stock and Class A common stock. The rights of the holders of Class A common stock and Class B common stock are identical, except that our Class B common stock is non-voting and is not entitled to any votes on any matter that is submitted to a vote of our stockholders, except as required by Delaware law. Each share of Class A common stock is entitled to one vote and is convertible at any time into one share of Class B common stock. The Class B common stock has no voting rights, except as required by Delaware General Corporation Law. However, upon and following the Final Conversion Date, defined as the date that no shares of Class A common stock remain outstanding, holders of Class B common stock will be entitled to one vote per share.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 See “</w:t>
      </w:r>
      <w:r>
        <w:rPr>
          <w:rFonts w:ascii="Times New Roman" w:cs="Times New Roman" w:eastAsia="Times New Roman" w:hAnsi="Times New Roman"/>
          <w:sz w:val="14"/>
          <w:szCs w:val="14"/>
          <w:i w:val="1"/>
          <w:iCs w:val="1"/>
          <w:color w:val="auto"/>
        </w:rPr>
        <w:t>Description of Capital Stock - Common Stock - Voting Rights” and “Description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Capital Stock - Preferred Stock - Voting Rights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Channels for Disclosure of Information</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intend to announce material information to the public through filings with the SEC, the investor relations page on our website (www.aptera.us), press releases, public conference calls, public webcasts, and our social media pages. The information contained on, or that can be accessed through, our website is not incorporated by reference into, and is not a part of, this prospectus. Investors should not rely on any such information in deciding whether to purchase our securities.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updates to the list of disclosure channels through which we will announce information will be posted on the investor relations page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As a company with less than $1.235 billion in revenue during our most recently completed fiscal year, we qualify as an “emerging growth company” as defined in Section 2(a) of the Securities Act as modified by the Jumpstart Our Business Startups Act of 2012, or the JOBS Act. As an emerging growth company,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5" w:name="page6"/>
    <w:bookmarkEnd w:id="5"/>
    <w:p>
      <w:pPr>
        <w:spacing w:after="0" w:line="286" w:lineRule="auto"/>
        <w:rPr>
          <w:sz w:val="20"/>
          <w:szCs w:val="20"/>
          <w:color w:val="auto"/>
        </w:rPr>
      </w:pPr>
      <w:r>
        <w:rPr>
          <w:rFonts w:ascii="Times New Roman" w:cs="Times New Roman" w:eastAsia="Times New Roman" w:hAnsi="Times New Roman"/>
          <w:sz w:val="14"/>
          <w:szCs w:val="14"/>
          <w:color w:val="auto"/>
        </w:rPr>
        <w:t>We may take advantage of specified reduced disclosure and other requirements that are otherwise applicable, in general, to public companies that are not emerging growth companies. These provisions include, but are not limited to:</w:t>
      </w:r>
    </w:p>
    <w:p>
      <w:pPr>
        <w:spacing w:after="0" w:line="125" w:lineRule="exact"/>
        <w:rPr>
          <w:sz w:val="20"/>
          <w:szCs w:val="20"/>
          <w:color w:val="auto"/>
        </w:rPr>
      </w:pPr>
    </w:p>
    <w:p>
      <w:pPr>
        <w:ind w:left="520" w:hanging="261"/>
        <w:spacing w:after="0" w:line="286"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present only two years of audited financial statements and only two years of related Management’s Discussion and Analysis of Financial Condition and Results of Operations;</w:t>
      </w:r>
    </w:p>
    <w:p>
      <w:pPr>
        <w:spacing w:after="0" w:line="12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compliance with the auditor attestation requirement on the effectiveness of our internal control over financial reporting pursuant to the Sarbanes-Oxley Act of 2002;</w:t>
      </w:r>
    </w:p>
    <w:p>
      <w:pPr>
        <w:spacing w:after="0" w:line="178" w:lineRule="exact"/>
        <w:rPr>
          <w:rFonts w:ascii="Times New Roman" w:cs="Times New Roman" w:eastAsia="Times New Roman" w:hAnsi="Times New Roman"/>
          <w:sz w:val="14"/>
          <w:szCs w:val="14"/>
          <w:color w:val="auto"/>
        </w:rPr>
      </w:pPr>
    </w:p>
    <w:p>
      <w:pPr>
        <w:ind w:left="520" w:hanging="261"/>
        <w:spacing w:after="0" w:line="286"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the requirement that critical audit matters be discussed in our independent auditor’s reports on our audited financial statements or any other requirements that may be adopted by the Public Company Accounting Oversight Board unless the SEC determines that the application of such requirements to emerging growth companies is in the public interest;</w:t>
      </w:r>
    </w:p>
    <w:p>
      <w:pPr>
        <w:spacing w:after="0" w:line="12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about our executive compensation arrangements;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to obtain a non-binding advisory vote on executive compensation or a stockholder approval of any golden parachute arrangements; and</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extended transition periods for complying with new or revised accounting standards.</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in any three-year period, more than $1.0 billion in non-convertible debt securities; and (4) the last day of the fiscal year ending after the fifth anniversary of the date of our first public equity sale.</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may take advantage of these exemptions until such time as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that have adopted the new or revised accounting standards. It is possible that some investors will find our Class B common stock less attractive as a result, which may result in a less active trading market for our Class B common stock and higher volatility in the stock price of our Class B common stock.</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Benefit Corporation Status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demonstration of our long-term commitment to promote solar mobility and to work towards positively impacting the communities in which we operate, we are treated as a public benefit corporation under Delaware law. As provided in the Amended &amp; Restated Certificate of Incorporation (our “Amended Charter”), the public benefits that we promote, and pursuant to which we manage our Company, are to break the chains of energy dependence by championing solar mobility-liberating communities, restoring sustainability, and forging a future where power belongs to the people. Being a public benefit corporation underscores our commitment to our purpose and our stakeholders, including consumers and customers, communities, and stockholders. See the section titled “</w:t>
      </w:r>
      <w:r>
        <w:rPr>
          <w:rFonts w:ascii="Times New Roman" w:cs="Times New Roman" w:eastAsia="Times New Roman" w:hAnsi="Times New Roman"/>
          <w:sz w:val="14"/>
          <w:szCs w:val="14"/>
          <w:i w:val="1"/>
          <w:iCs w:val="1"/>
          <w:color w:val="auto"/>
        </w:rPr>
        <w:t>Description of Capital Stock-Public Benefit Corporation Status</w:t>
      </w:r>
      <w:r>
        <w:rPr>
          <w:rFonts w:ascii="Times New Roman" w:cs="Times New Roman" w:eastAsia="Times New Roman" w:hAnsi="Times New Roman"/>
          <w:sz w:val="14"/>
          <w:szCs w:val="14"/>
          <w:color w:val="auto"/>
        </w:rPr>
        <w:t>” for additional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Nasdaq Listing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(“Nasdaq”) under the symbol “SEV.”</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6" w:name="page7"/>
    <w:bookmarkEnd w:id="6"/>
    <w:p>
      <w:pPr>
        <w:spacing w:after="0" w:line="33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b w:val="1"/>
          <w:bCs w:val="1"/>
          <w:color w:val="auto"/>
        </w:rPr>
        <w:t>Shares of Class B Common Stock offered by the Selling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National Securities Exchange Listing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ind w:left="126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 to 4,751,250 shares of Common Stock issuable upon exercise of the Warrants.</w:t>
      </w:r>
    </w:p>
    <w:p>
      <w:pPr>
        <w:spacing w:after="0" w:line="3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will not receive any proceeds from the shares of Common Stock offered by the Selling Stockholders pursuant to this prospectus. However, we will receive the proceeds of any cash exercise of the Warrants. We intend to use the net proceeds from any cash exercise of the Warrants for working capital and general corporate purposes. Please see the section entitled see “</w:t>
      </w:r>
      <w:r>
        <w:rPr>
          <w:rFonts w:ascii="Times New Roman" w:cs="Times New Roman" w:eastAsia="Times New Roman" w:hAnsi="Times New Roman"/>
          <w:sz w:val="14"/>
          <w:szCs w:val="14"/>
          <w:i w:val="1"/>
          <w:iCs w:val="1"/>
          <w:color w:val="auto"/>
        </w:rPr>
        <w:t>Use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Proceeds</w:t>
      </w:r>
      <w:r>
        <w:rPr>
          <w:rFonts w:ascii="Times New Roman" w:cs="Times New Roman" w:eastAsia="Times New Roman" w:hAnsi="Times New Roman"/>
          <w:sz w:val="14"/>
          <w:szCs w:val="14"/>
          <w:color w:val="auto"/>
        </w:rPr>
        <w:t>” on page 10 of this prospectus for a more detailed discussion.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currently listed on Nasdaq under the symbol “SEV”.</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An investment in our securities involves a high degree of risk. Please see the section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5 of this prospectus. In addition before deciding whether to invest in our securities, you should consider carefully the risks and uncertainties described in the section captioned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contained in our Annual Report on Form 10-K for the fiscal year ended December 31, 2025 filed with the SEC on March 30, 2026, and other filings we make with the SEC from time to time, which are incorporated by reference herein in their entirety, together with other information in this prospectus and the information incorporated by reference herein.</w:t>
      </w:r>
    </w:p>
    <w:p>
      <w:pPr>
        <w:spacing w:after="0" w:line="1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14605</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2">
            <w:col w:w="3340" w:space="500"/>
            <w:col w:w="7440"/>
          </w:cols>
          <w:pgMar w:left="300" w:top="568"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An investment in our securities involves a high degree of risk. Before deciding whether to invest in our securities, you should consider carefully the risks and uncertainties described in the section captioned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contained in our Annual Report on Form 10-K for the fiscal year ended December 31, 2025 filed with the SEC on March 30, 2026, and our other filings we make with the SEC from time to time, which are incorporated by reference herein in their entirety, together with other information in this prospectus and the information incorporated by reference herein. Additional risks and uncertainties of which we are unaware, or that we currently deem immaterial, also may become important factors that affect us. You should also carefully consider the other information included or incorporated by reference in this prospectus. Each of the risks described in these documents could materially and adversely affect our business, financial condition, results of operations and prospects, and could result in a partial or complete loss of your investment. If any of these risks actually occurs, our business, financial condition, results of operations or cash flow could suffer materially. In such an event, the trading price of our shares of Common Stock could decline, and you might lose all or part of your investment.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Except for historical information, this prospectus and the documents incorporated herein by reference contain forward-looking statements within the meaning of Section 27A of the Securities Act of 1933, as amended, (the “Securities Act”) and the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14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There are a number of important factors that could cause the actual results to differ materially from those expressed in any forward-looking statement made by us. These factors include, but are not limited to:</w:t>
      </w:r>
    </w:p>
    <w:p>
      <w:pPr>
        <w:spacing w:after="0" w:line="125" w:lineRule="exact"/>
        <w:rPr>
          <w:sz w:val="20"/>
          <w:szCs w:val="20"/>
          <w:color w:val="auto"/>
        </w:rPr>
      </w:pPr>
    </w:p>
    <w:p>
      <w:pPr>
        <w:ind w:left="520" w:hanging="261"/>
        <w:spacing w:after="0" w:line="286"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 including our expectations regarding our revenue, cost of revenue, gross profit, operating expenses including changes in research and development, sales and marketing, and general and administrative expenses (including any components of the foregoing), and our ability to maintain future profitability;</w:t>
      </w:r>
    </w:p>
    <w:p>
      <w:pPr>
        <w:spacing w:after="0" w:line="12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raise capital to fund our operations;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plan and our ability to effectively manage our growth;</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with well-established competitors and new entrants;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navigate the regulatory environment applicable to our operations and industry;</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begin manufacturing our vehicles at scale;</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employees and key personnel;</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our strategy;</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beliefs and objectives for future operations;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protect, and enhance our brand and intellectual property;</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stay in compliance with laws and regulations that currently apply or become applicable to our business;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industry trends, projected growth, or trend analysis; and</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expenses associated with being a public company.</w:t>
      </w:r>
    </w:p>
    <w:p>
      <w:pPr>
        <w:spacing w:after="0" w:line="17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caution you that the foregoing list may not contain all of the forward-looking statements made in this prospectus.</w:t>
      </w:r>
    </w:p>
    <w:p>
      <w:pPr>
        <w:spacing w:after="0" w:line="17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refer to the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of this prospectus and the documents we incorporate by reference for a discussion of important factors that may cause our actual results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and the documents we incorporate by reference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9" w:name="page10"/>
    <w:bookmarkEnd w:id="9"/>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PRIVATE PLACEMENT</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On March 12, 2026, we entered into an inducement offer letter agreement (the “Inducement Letter”) with certain holders (the “Holders”) of certain of our existing warrants to purchase up to an aggregate of 3,167,500 shares of our Common Stock issued to the Holders on January 26, 2026 (the “Existing Warrants”). The Existing Warrants had an exercise price of $2.00 per share.</w:t>
      </w:r>
    </w:p>
    <w:p>
      <w:pPr>
        <w:spacing w:after="0" w:line="12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Pursuant to the Inducement Letter, the Holders agreed to exercise for cash their Existing Warrants at an exercise price of $2.00 per share in consideration for our agreement to issue in a private placement warrants to purchase up to an aggregate of 4,751,250 shares of Common Stock.</w:t>
      </w:r>
    </w:p>
    <w:p>
      <w:pPr>
        <w:spacing w:after="0" w:line="12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The Warrants were issued on March 12, 2026 (the “Closing Date”). We received aggregate gross proceeds of approximately $6.34 million from the exercise of the Existing Warrants by the Holders, before deducting financial advisory fees and other offering expenses payable by us.</w:t>
      </w:r>
    </w:p>
    <w:p>
      <w:pPr>
        <w:spacing w:after="0" w:line="1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Pursuant to the Inducement Letter, we agreed to file a registration statement on Form S-1 providing for the resale of the Warrant Shares as soon as reasonably practicable after the Closing Date (and in any event within 10 calendar days of the filing of the Company’s Annual Report on Form 10-K (the “10-K Filing Date”)), and to use commercially reasonable efforts to cause such registration statement to be declared effective by the SEC within 60 days following the 10-K Filing Date (or within 90 calendar days in case of “full review” by the SEC) and to keep such registration statement effective at all times until the Holders no longer own any Warrants or the shares issuable upon exercise thereof. We have filed the registration statement of which this prospectus forms a part pursuant to the Inducement Letter.</w:t>
      </w:r>
    </w:p>
    <w:p>
      <w:pPr>
        <w:spacing w:after="0" w:line="14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We engaged A.G.P./Alliance Global Partners (the “Financial Advisor”) to act as financial advisor in connection with the transactions summarized above and paid the Financial Advisor a fee equal to 6% of the gross proceeds raised in the transaction and reimburse the Financial Advisor for legal expenses incurred in connection with the transaction not to exceed $25,000.</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 xml:space="preserve">This prospectus covers the resale or other disposition by the Selling Stockholders identified in the table below of up to an aggregate 4,751,250 shares of our Common Stock issuable upon the exercise of the Warrants. The Selling Stockholders acquired their securities in the transactions described above under the heading </w:t>
      </w:r>
      <w:r>
        <w:rPr>
          <w:rFonts w:ascii="Times New Roman" w:cs="Times New Roman" w:eastAsia="Times New Roman" w:hAnsi="Times New Roman"/>
          <w:sz w:val="14"/>
          <w:szCs w:val="14"/>
          <w:i w:val="1"/>
          <w:iCs w:val="1"/>
          <w:color w:val="auto"/>
        </w:rPr>
        <w:t>“Private Placement</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The Warrants held by the Selling Stockholders contain limitations which prevent the holder from exercising such Warrants if such exercise would cause the Selling Stockholder, together with certain related parties, to beneficially own a number of shares of Common Stock which would exceed 4.99% or 9.99% of our then outstanding shares of Common Stock following such exercise, excluding for purposes of such determination, shares of Common Stock issuable upon exercise of the Warrants which have not been exercised.</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sets forth, as of March 31, 2026, the following information regarding the Selling Stockholders:</w:t>
      </w:r>
    </w:p>
    <w:p>
      <w:pPr>
        <w:spacing w:after="0" w:line="178" w:lineRule="exact"/>
        <w:rPr>
          <w:sz w:val="20"/>
          <w:szCs w:val="20"/>
          <w:color w:val="auto"/>
        </w:rPr>
      </w:pPr>
    </w:p>
    <w:p>
      <w:pPr>
        <w:ind w:left="520" w:hanging="261"/>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the Selling Stockholders;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owned by the Selling Stockholders prior to this offering, without regard to any beneficial ownership limitations contained in the Warrants;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to be offered by the Selling Stockholders in this offering;</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to be owned by the Selling Stockholders assuming the sale of all of the shares of Common Stock covered by this prospectus; and</w:t>
      </w:r>
    </w:p>
    <w:p>
      <w:pPr>
        <w:spacing w:after="0" w:line="178" w:lineRule="exact"/>
        <w:rPr>
          <w:rFonts w:ascii="Times New Roman" w:cs="Times New Roman" w:eastAsia="Times New Roman" w:hAnsi="Times New Roman"/>
          <w:sz w:val="14"/>
          <w:szCs w:val="14"/>
          <w:color w:val="auto"/>
        </w:rPr>
      </w:pPr>
    </w:p>
    <w:p>
      <w:pPr>
        <w:ind w:left="520" w:hanging="261"/>
        <w:spacing w:after="0" w:line="286"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our issued and outstanding shares of Common Stock to be owned by Selling Stockholders assuming the sale of all of the shares of Common Stock covered by this prospectus based on the number of shares of Common Stock issued and outstanding as of March 31, 2026.</w:t>
      </w:r>
    </w:p>
    <w:p>
      <w:pPr>
        <w:spacing w:after="0" w:line="12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Except as described above, the number of shares of Common Stock beneficially owned by the Selling Stockholder has been determined in accordance with Rule 13d-3 under the Exchange Act and includes, for such purpose, shares of Common Stock that the Selling Stockholder has the right to acquire within 60 days of March 31, 2026.</w:t>
      </w:r>
    </w:p>
    <w:p>
      <w:pPr>
        <w:spacing w:after="0" w:line="1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All information with respect to the Common Stock ownership of the Selling Stockholders has been furnished by or on behalf of the Selling Stockholders. We believe, based on information supplied by the Selling Stockholders, that except as may otherwise be indicated in the footnotes to the table below, the Selling Stockholder has sole voting and dispositive power with respect to the shares of Common Stock reported as beneficially owned by the Selling Stockholders. Because the Selling Stockholders identified in the table may sell some or all of the shares of Common Stock beneficially owned by them and covered by this prospectus, and because there are currently no agreements, arrangements or understandings with respect to the sale of any of the shares of Common Stock, no estimate can be given as to the number of shares of Common Stock available for resale hereby that will be held by the Selling Stockholders upon termination of this offering. In addition, the Selling Stockholders may have sold, transferred or otherwise disposed of, or may sell, transfer or otherwise dispose of, at any time and from time to time, the shares of Common Stock they beneficially own in transactions exempt from the registration requirements of the Securities Act after the date on which they provided the information set forth in the table below. We have, therefore, assumed for the purposes of the following table, that the Selling Stockholders will sell all of the shares of Common Stock owned beneficially by it that are covered by this prospectus, but will not sell any other shares of Common Stock that they presently own. Except as set forth below, the Selling Stockholders have not held any position or office, or have otherwise had a material relationship, with us or any of our subsidiaries within the past three years other than as a result of the ownership of our shares of Common Stock or other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0"/>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Prior</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r>
      <w:tr>
        <w:trPr>
          <w:trHeight w:val="170"/>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 the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by this</w:t>
            </w: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Owned after the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After</w:t>
            </w:r>
          </w:p>
        </w:tc>
      </w:tr>
      <w:tr>
        <w:trPr>
          <w:trHeight w:val="186"/>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Stockholders</w:t>
            </w:r>
          </w:p>
        </w:tc>
        <w:tc>
          <w:tcPr>
            <w:tcW w:w="2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(1)</w:t>
            </w:r>
          </w:p>
        </w:tc>
        <w:tc>
          <w:tcPr>
            <w:tcW w:w="4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(1)(2)</w:t>
            </w:r>
          </w:p>
        </w:tc>
        <w:tc>
          <w:tcPr>
            <w:tcW w:w="3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Prospectus (3)</w:t>
            </w:r>
          </w:p>
        </w:tc>
        <w:tc>
          <w:tcPr>
            <w:tcW w:w="3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(1)</w:t>
            </w: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Offering (1) (2)</w:t>
            </w:r>
          </w:p>
        </w:tc>
        <w:tc>
          <w:tcPr>
            <w:tcW w:w="120" w:type="dxa"/>
            <w:vAlign w:val="bottom"/>
            <w:tcBorders>
              <w:bottom w:val="single" w:sz="8" w:color="CCEEFF"/>
            </w:tcBorders>
          </w:tcPr>
          <w:p>
            <w:pPr>
              <w:spacing w:after="0"/>
              <w:rPr>
                <w:sz w:val="16"/>
                <w:szCs w:val="16"/>
                <w:color w:val="auto"/>
              </w:rPr>
            </w:pPr>
          </w:p>
        </w:tc>
      </w:tr>
      <w:tr>
        <w:trPr>
          <w:trHeight w:val="16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Polar Asset Management Partners Inc.</w:t>
            </w: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w:t>
            </w:r>
          </w:p>
        </w:tc>
        <w:tc>
          <w:tcPr>
            <w:tcW w:w="4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2"/>
                <w:szCs w:val="12"/>
                <w:color w:val="auto"/>
                <w:w w:val="85"/>
              </w:rPr>
              <w:t>(4)</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w:t>
            </w: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Heights Capital Management, Inc.</w:t>
            </w:r>
          </w:p>
        </w:tc>
        <w:tc>
          <w:tcPr>
            <w:tcW w:w="164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color w:val="auto"/>
              </w:rPr>
              <w:t>562,500</w:t>
            </w:r>
            <w:r>
              <w:rPr>
                <w:rFonts w:ascii="Times New Roman" w:cs="Times New Roman" w:eastAsia="Times New Roman" w:hAnsi="Times New Roman"/>
                <w:sz w:val="11"/>
                <w:szCs w:val="11"/>
                <w:color w:val="auto"/>
              </w:rPr>
              <w:t>(5)</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1.96%</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562,500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Hudson Bay Master Fund Ltd.</w:t>
            </w:r>
          </w:p>
        </w:tc>
        <w:tc>
          <w:tcPr>
            <w:tcW w:w="16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4"/>
                <w:szCs w:val="14"/>
                <w:color w:val="auto"/>
              </w:rPr>
              <w:t>562,500</w:t>
            </w:r>
            <w:r>
              <w:rPr>
                <w:rFonts w:ascii="Times New Roman" w:cs="Times New Roman" w:eastAsia="Times New Roman" w:hAnsi="Times New Roman"/>
                <w:sz w:val="11"/>
                <w:szCs w:val="11"/>
                <w:color w:val="auto"/>
              </w:rPr>
              <w:t>(6)</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562,500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Intracoastal Capital LLC</w:t>
            </w:r>
          </w:p>
        </w:tc>
        <w:tc>
          <w:tcPr>
            <w:tcW w:w="164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color w:val="auto"/>
              </w:rPr>
              <w:t>495,000</w:t>
            </w:r>
            <w:r>
              <w:rPr>
                <w:rFonts w:ascii="Times New Roman" w:cs="Times New Roman" w:eastAsia="Times New Roman" w:hAnsi="Times New Roman"/>
                <w:sz w:val="11"/>
                <w:szCs w:val="11"/>
                <w:color w:val="auto"/>
              </w:rPr>
              <w:t>(7)</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1.73%</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495,000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Forster</w:t>
            </w:r>
          </w:p>
        </w:tc>
        <w:tc>
          <w:tcPr>
            <w:tcW w:w="16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4"/>
                <w:szCs w:val="14"/>
                <w:color w:val="auto"/>
              </w:rPr>
              <w:t>262,500</w:t>
            </w:r>
            <w:r>
              <w:rPr>
                <w:rFonts w:ascii="Times New Roman" w:cs="Times New Roman" w:eastAsia="Times New Roman" w:hAnsi="Times New Roman"/>
                <w:sz w:val="11"/>
                <w:szCs w:val="11"/>
                <w:color w:val="auto"/>
              </w:rPr>
              <w:t>(8)</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262,500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KBB Asset Management LLC</w:t>
            </w:r>
          </w:p>
        </w:tc>
        <w:tc>
          <w:tcPr>
            <w:tcW w:w="164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color w:val="auto"/>
              </w:rPr>
              <w:t>195,000</w:t>
            </w:r>
            <w:r>
              <w:rPr>
                <w:rFonts w:ascii="Times New Roman" w:cs="Times New Roman" w:eastAsia="Times New Roman" w:hAnsi="Times New Roman"/>
                <w:sz w:val="11"/>
                <w:szCs w:val="11"/>
                <w:color w:val="auto"/>
              </w:rPr>
              <w:t>(9)</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195,000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Mank Capital, LLC</w:t>
            </w:r>
          </w:p>
        </w:tc>
        <w:tc>
          <w:tcPr>
            <w:tcW w:w="16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4"/>
                <w:szCs w:val="14"/>
                <w:color w:val="auto"/>
              </w:rPr>
              <w:t>150,000</w:t>
            </w:r>
            <w:r>
              <w:rPr>
                <w:rFonts w:ascii="Times New Roman" w:cs="Times New Roman" w:eastAsia="Times New Roman" w:hAnsi="Times New Roman"/>
                <w:sz w:val="11"/>
                <w:szCs w:val="11"/>
                <w:color w:val="auto"/>
              </w:rPr>
              <w:t>(10)</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150,000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Aramas Capital Management LLC</w:t>
            </w:r>
          </w:p>
        </w:tc>
        <w:tc>
          <w:tcPr>
            <w:tcW w:w="164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color w:val="auto"/>
              </w:rPr>
              <w:t>112,500</w:t>
            </w:r>
            <w:r>
              <w:rPr>
                <w:rFonts w:ascii="Times New Roman" w:cs="Times New Roman" w:eastAsia="Times New Roman" w:hAnsi="Times New Roman"/>
                <w:sz w:val="11"/>
                <w:szCs w:val="11"/>
                <w:color w:val="auto"/>
              </w:rPr>
              <w:t>(11)</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112,500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Connective Capital Emerging Energy QP, LP</w:t>
            </w:r>
          </w:p>
        </w:tc>
        <w:tc>
          <w:tcPr>
            <w:tcW w:w="16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4"/>
                <w:szCs w:val="14"/>
                <w:color w:val="auto"/>
              </w:rPr>
              <w:t>85,756</w:t>
            </w:r>
            <w:r>
              <w:rPr>
                <w:rFonts w:ascii="Times New Roman" w:cs="Times New Roman" w:eastAsia="Times New Roman" w:hAnsi="Times New Roman"/>
                <w:sz w:val="11"/>
                <w:szCs w:val="11"/>
                <w:color w:val="auto"/>
              </w:rPr>
              <w:t>(12)</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85,756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Boothbay Absolute Return Strategies, LP</w:t>
            </w:r>
          </w:p>
        </w:tc>
        <w:tc>
          <w:tcPr>
            <w:tcW w:w="164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color w:val="auto"/>
              </w:rPr>
              <w:t>45,000</w:t>
            </w:r>
            <w:r>
              <w:rPr>
                <w:rFonts w:ascii="Times New Roman" w:cs="Times New Roman" w:eastAsia="Times New Roman" w:hAnsi="Times New Roman"/>
                <w:sz w:val="11"/>
                <w:szCs w:val="11"/>
                <w:color w:val="auto"/>
              </w:rPr>
              <w:t>(13)</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45,000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Connective Capital I QP, LP</w:t>
            </w:r>
          </w:p>
        </w:tc>
        <w:tc>
          <w:tcPr>
            <w:tcW w:w="16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4"/>
                <w:szCs w:val="14"/>
                <w:color w:val="auto"/>
              </w:rPr>
              <w:t>19,244</w:t>
            </w:r>
            <w:r>
              <w:rPr>
                <w:rFonts w:ascii="Times New Roman" w:cs="Times New Roman" w:eastAsia="Times New Roman" w:hAnsi="Times New Roman"/>
                <w:sz w:val="11"/>
                <w:szCs w:val="11"/>
                <w:color w:val="auto"/>
              </w:rPr>
              <w:t>(14)</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19,244</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Kingsbrook Opportunities Master Fund LP</w:t>
            </w:r>
          </w:p>
        </w:tc>
        <w:tc>
          <w:tcPr>
            <w:tcW w:w="164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color w:val="auto"/>
              </w:rPr>
              <w:t>11,250</w:t>
            </w:r>
            <w:r>
              <w:rPr>
                <w:rFonts w:ascii="Times New Roman" w:cs="Times New Roman" w:eastAsia="Times New Roman" w:hAnsi="Times New Roman"/>
                <w:sz w:val="11"/>
                <w:szCs w:val="11"/>
                <w:color w:val="auto"/>
              </w:rPr>
              <w:t>(15)</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11,250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1.0%.</w:t>
      </w:r>
    </w:p>
    <w:p>
      <w:pPr>
        <w:spacing w:after="0" w:line="178" w:lineRule="exact"/>
        <w:rPr>
          <w:sz w:val="20"/>
          <w:szCs w:val="20"/>
          <w:color w:val="auto"/>
        </w:rPr>
      </w:pPr>
    </w:p>
    <w:p>
      <w:pPr>
        <w:jc w:val="both"/>
        <w:ind w:left="360" w:hanging="355"/>
        <w:spacing w:after="0" w:line="269"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determined in accordance with Rule 13d-3 under the Exchange Act and is presented as of March 31, 2026, based on 24,570,241 shares of Common Stock outstanding. The number of shares beneficially owned prior to the offering includes shares underlying the Warrants that are exercisable within 60 days of the measurement date and gives effect to any beneficial ownership limitations contained in such Warrants.</w:t>
      </w:r>
    </w:p>
    <w:p>
      <w:pPr>
        <w:spacing w:after="0" w:line="137" w:lineRule="exact"/>
        <w:rPr>
          <w:rFonts w:ascii="Times New Roman" w:cs="Times New Roman" w:eastAsia="Times New Roman" w:hAnsi="Times New Roman"/>
          <w:sz w:val="14"/>
          <w:szCs w:val="14"/>
          <w:color w:val="auto"/>
        </w:rPr>
      </w:pPr>
    </w:p>
    <w:p>
      <w:pPr>
        <w:ind w:left="360" w:hanging="355"/>
        <w:spacing w:after="0" w:line="286"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are calculated for each selling stockholder by dividing the number of shares beneficially owned by such selling stockholder by the sum of (i) 24,570,241 and (ii) the number of shares underlying securities deemed beneficially owned by such selling stockholder pursuant to Rule 13d-3.</w:t>
      </w:r>
    </w:p>
    <w:p>
      <w:pPr>
        <w:spacing w:after="0" w:line="125" w:lineRule="exact"/>
        <w:rPr>
          <w:rFonts w:ascii="Times New Roman" w:cs="Times New Roman" w:eastAsia="Times New Roman" w:hAnsi="Times New Roman"/>
          <w:sz w:val="14"/>
          <w:szCs w:val="14"/>
          <w:color w:val="auto"/>
        </w:rPr>
      </w:pPr>
    </w:p>
    <w:p>
      <w:pPr>
        <w:ind w:left="360" w:hanging="355"/>
        <w:spacing w:after="0" w:line="286" w:lineRule="auto"/>
        <w:tabs>
          <w:tab w:leader="none" w:pos="40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full number of shares of Common Stock registered, including all of the shares of Common Stock issuable upon exercise of the Warrants, and gives no effect to any beneficial ownership limitation contained in the Warrants.</w:t>
      </w:r>
    </w:p>
    <w:p>
      <w:pPr>
        <w:spacing w:after="0" w:line="125" w:lineRule="exact"/>
        <w:rPr>
          <w:rFonts w:ascii="Times New Roman" w:cs="Times New Roman" w:eastAsia="Times New Roman" w:hAnsi="Times New Roman"/>
          <w:sz w:val="14"/>
          <w:szCs w:val="14"/>
          <w:color w:val="auto"/>
        </w:rPr>
      </w:pPr>
    </w:p>
    <w:p>
      <w:pPr>
        <w:jc w:val="both"/>
        <w:ind w:left="360" w:hanging="355"/>
        <w:spacing w:after="0" w:line="269"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Warrants to purchase up to 2,250,000 shares of Common Stock.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Polar Asset Management Partners Inc. is 16 York Street, Suite 2900, Toronto, Ontario M5J 0E6, Canada.</w:t>
      </w:r>
    </w:p>
    <w:p>
      <w:pPr>
        <w:spacing w:after="0" w:line="137" w:lineRule="exact"/>
        <w:rPr>
          <w:rFonts w:ascii="Times New Roman" w:cs="Times New Roman" w:eastAsia="Times New Roman" w:hAnsi="Times New Roman"/>
          <w:sz w:val="14"/>
          <w:szCs w:val="14"/>
          <w:color w:val="auto"/>
        </w:rPr>
      </w:pPr>
    </w:p>
    <w:p>
      <w:pPr>
        <w:jc w:val="both"/>
        <w:ind w:left="360" w:hanging="355"/>
        <w:spacing w:after="0" w:line="269"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Warrants to purchase up to 562,500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Heights Capital Management, Inc. is 101 California Street, Suite 3250, San Francisco, California 94111.</w:t>
      </w:r>
    </w:p>
    <w:p>
      <w:pPr>
        <w:spacing w:after="0" w:line="137" w:lineRule="exact"/>
        <w:rPr>
          <w:rFonts w:ascii="Times New Roman" w:cs="Times New Roman" w:eastAsia="Times New Roman" w:hAnsi="Times New Roman"/>
          <w:sz w:val="14"/>
          <w:szCs w:val="14"/>
          <w:color w:val="auto"/>
        </w:rPr>
      </w:pPr>
    </w:p>
    <w:p>
      <w:pPr>
        <w:jc w:val="both"/>
        <w:ind w:left="360" w:hanging="355"/>
        <w:spacing w:after="0" w:line="269"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Warrants to purchase up to 562,500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Hudson Bay Master Fund Ltd. is 290 Harbor Drive, 3rd Floor, Stamford, CT 06902.</w:t>
      </w:r>
    </w:p>
    <w:p>
      <w:pPr>
        <w:spacing w:after="0" w:line="137" w:lineRule="exact"/>
        <w:rPr>
          <w:rFonts w:ascii="Times New Roman" w:cs="Times New Roman" w:eastAsia="Times New Roman" w:hAnsi="Times New Roman"/>
          <w:sz w:val="14"/>
          <w:szCs w:val="14"/>
          <w:color w:val="auto"/>
        </w:rPr>
      </w:pPr>
    </w:p>
    <w:p>
      <w:pPr>
        <w:jc w:val="both"/>
        <w:ind w:left="360" w:hanging="355"/>
        <w:spacing w:after="0" w:line="269"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Warrants to purchase up to 495,000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Intracoastal Capital LLC. is 245 Palm Trail, Delray Beach, Florida 33483.</w:t>
      </w:r>
    </w:p>
    <w:p>
      <w:pPr>
        <w:spacing w:after="0" w:line="137" w:lineRule="exact"/>
        <w:rPr>
          <w:rFonts w:ascii="Times New Roman" w:cs="Times New Roman" w:eastAsia="Times New Roman" w:hAnsi="Times New Roman"/>
          <w:sz w:val="14"/>
          <w:szCs w:val="14"/>
          <w:color w:val="auto"/>
        </w:rPr>
      </w:pPr>
    </w:p>
    <w:p>
      <w:pPr>
        <w:jc w:val="both"/>
        <w:ind w:left="360" w:hanging="355"/>
        <w:spacing w:after="0" w:line="269"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Warrants to purchase up to 262,500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Robert Forster is 54 Deepdale Dr., Great Neck, NY 11021.</w:t>
      </w:r>
    </w:p>
    <w:p>
      <w:pPr>
        <w:spacing w:after="0" w:line="137" w:lineRule="exact"/>
        <w:rPr>
          <w:rFonts w:ascii="Times New Roman" w:cs="Times New Roman" w:eastAsia="Times New Roman" w:hAnsi="Times New Roman"/>
          <w:sz w:val="14"/>
          <w:szCs w:val="14"/>
          <w:color w:val="auto"/>
        </w:rPr>
      </w:pPr>
    </w:p>
    <w:p>
      <w:pPr>
        <w:jc w:val="both"/>
        <w:ind w:left="360" w:hanging="355"/>
        <w:spacing w:after="0" w:line="269"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Warrants to purchase up to 195,000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KBB Asset Management LLC is 253 West 73rd Street, Unit 4C, New York, NY 10023.</w:t>
      </w:r>
    </w:p>
    <w:p>
      <w:pPr>
        <w:spacing w:after="0" w:line="137" w:lineRule="exact"/>
        <w:rPr>
          <w:rFonts w:ascii="Times New Roman" w:cs="Times New Roman" w:eastAsia="Times New Roman" w:hAnsi="Times New Roman"/>
          <w:sz w:val="14"/>
          <w:szCs w:val="14"/>
          <w:color w:val="auto"/>
        </w:rPr>
      </w:pPr>
    </w:p>
    <w:p>
      <w:pPr>
        <w:jc w:val="both"/>
        <w:ind w:left="360" w:hanging="355"/>
        <w:spacing w:after="0" w:line="269"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Warrants to purchase up to 150,000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Mank Capital, LLC is 347 West 87th Street, Apt. 2R, New York, NY 10024.</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12" w:name="page13"/>
    <w:bookmarkEnd w:id="12"/>
    <w:p>
      <w:pPr>
        <w:jc w:val="both"/>
        <w:ind w:left="360" w:hanging="355"/>
        <w:spacing w:after="0" w:line="269" w:lineRule="auto"/>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Warrants to purchase up to 112,500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Aramas Capital Management LLC is 19 Orchard Street, Manhasset, NY 11030 .</w:t>
      </w:r>
    </w:p>
    <w:p>
      <w:pPr>
        <w:spacing w:after="0" w:line="137" w:lineRule="exact"/>
        <w:rPr>
          <w:rFonts w:ascii="Times New Roman" w:cs="Times New Roman" w:eastAsia="Times New Roman" w:hAnsi="Times New Roman"/>
          <w:sz w:val="14"/>
          <w:szCs w:val="14"/>
          <w:color w:val="auto"/>
        </w:rPr>
      </w:pPr>
    </w:p>
    <w:p>
      <w:pPr>
        <w:jc w:val="both"/>
        <w:ind w:left="360" w:hanging="355"/>
        <w:spacing w:after="0" w:line="269" w:lineRule="auto"/>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Warrants to purchase up to 85,756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Connective Capital Emerging Energy QP, LP is 385 Homer Avenue, Palo Alto, CA 94301.</w:t>
      </w:r>
    </w:p>
    <w:p>
      <w:pPr>
        <w:spacing w:after="0" w:line="137" w:lineRule="exact"/>
        <w:rPr>
          <w:rFonts w:ascii="Times New Roman" w:cs="Times New Roman" w:eastAsia="Times New Roman" w:hAnsi="Times New Roman"/>
          <w:sz w:val="14"/>
          <w:szCs w:val="14"/>
          <w:color w:val="auto"/>
        </w:rPr>
      </w:pPr>
    </w:p>
    <w:p>
      <w:pPr>
        <w:jc w:val="both"/>
        <w:ind w:left="360" w:hanging="355"/>
        <w:spacing w:after="0" w:line="269" w:lineRule="auto"/>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Warrants to purchase up to 45,000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Boothbay Absolute Return Strategies, LP is 140 East 45th Street, 16th Floor, New York, NY 10017.</w:t>
      </w:r>
    </w:p>
    <w:p>
      <w:pPr>
        <w:spacing w:after="0" w:line="137" w:lineRule="exact"/>
        <w:rPr>
          <w:rFonts w:ascii="Times New Roman" w:cs="Times New Roman" w:eastAsia="Times New Roman" w:hAnsi="Times New Roman"/>
          <w:sz w:val="14"/>
          <w:szCs w:val="14"/>
          <w:color w:val="auto"/>
        </w:rPr>
      </w:pPr>
    </w:p>
    <w:p>
      <w:pPr>
        <w:jc w:val="both"/>
        <w:ind w:left="360" w:hanging="355"/>
        <w:spacing w:after="0" w:line="269" w:lineRule="auto"/>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Warrants to purchase up to 19,244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Connective Capital I QP, LP is 385 Homer Avenue, Palo Alto, CA 94301.</w:t>
      </w:r>
    </w:p>
    <w:p>
      <w:pPr>
        <w:spacing w:after="0" w:line="137" w:lineRule="exact"/>
        <w:rPr>
          <w:rFonts w:ascii="Times New Roman" w:cs="Times New Roman" w:eastAsia="Times New Roman" w:hAnsi="Times New Roman"/>
          <w:sz w:val="14"/>
          <w:szCs w:val="14"/>
          <w:color w:val="auto"/>
        </w:rPr>
      </w:pPr>
    </w:p>
    <w:p>
      <w:pPr>
        <w:jc w:val="both"/>
        <w:ind w:left="360" w:hanging="355"/>
        <w:spacing w:after="0" w:line="269" w:lineRule="auto"/>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Warrants to purchase up to 11,250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Kingsbrook Opportunities Master Fund LP is 689 Fifth Avenue, 12th Floor, New York, NY 10022].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Common Stock to be offered and sold using this prospectus will be offered and sold by the Selling Stockholders named in this prospectus. Accordingly, we will not receive any proceeds from any sale of shares of Common Stock in this offering. However, we will receive the exercise price per share for each Warrant exercised for cash; however, we are unable to predict the timing or amount of potential Warrant exercises. As such, we have not allocated any proceeds of such exercises to any particular purpose. Accordingly, all such proceeds, if any, will be used for working capital and other general corporate purposes.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0"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Each Selling Stockholder of the securities and any of their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37" w:lineRule="exact"/>
        <w:rPr>
          <w:sz w:val="20"/>
          <w:szCs w:val="20"/>
          <w:color w:val="auto"/>
        </w:rPr>
      </w:pPr>
    </w:p>
    <w:p>
      <w:pPr>
        <w:ind w:left="520" w:hanging="261"/>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securities as agent but may position and resell a portion of the block as principal to facilitate the transaction;</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through broker-dealers that agree with the Selling Stockholders to sell a specified number of such securities at a stipulated price per security;</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or</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Stockholders may also sell securities under Rule 144 or any other exemption from registration under the Securities Act, if available, rather than under this prospectus.</w:t>
      </w:r>
    </w:p>
    <w:p>
      <w:pPr>
        <w:spacing w:after="0" w:line="17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4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4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14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spacing w:after="0" w:line="125"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agreed to keep the registration statement of which this prospectus is a part effective until at all times until the Holders no longer own any Warrants or the shares issuable upon exercise thereof.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4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Common Stock is quoted on Nasdaq under the symbol “SEV.”</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7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descriptions summarize important terms of our capital stock. This summary reflects Aptera’s Amended and Restated Certificate of Incorporation (the “Amended Charter”) and does not purport to be complete and is qualified in its entirety by the Amended Charter and the Amended and Restated Bylaws (the “Bylaws”), which have been filed as Exhibits to the registration statement of which this prospectus forms a part. For a complete description of Aptera’s capital stock, you should refer to our Amended Charter and our Bylaws and applicable provisions of the Delaware General Corporation Law. The descriptions of our capital stock reflect changes that will be in effect prior to the effectiveness of the registration statement of which this prospectus forms a part.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As of March 20, 2026, the authorized capital stock of the Company consists of 305,000,000 shares of common stock, par value $0.0001 per share, 190,000,000 of which shares are designated as “Class A common stock” and 115,000,000 of which shares are designated as “Class B common stock”.</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20, 2026, the Company has the following outstanding securities:</w:t>
      </w:r>
    </w:p>
    <w:p>
      <w:pPr>
        <w:spacing w:after="0" w:line="178" w:lineRule="exact"/>
        <w:rPr>
          <w:sz w:val="20"/>
          <w:szCs w:val="20"/>
          <w:color w:val="auto"/>
        </w:rPr>
      </w:pPr>
    </w:p>
    <w:p>
      <w:pPr>
        <w:ind w:left="520" w:hanging="261"/>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12,026,870 shares of Class A Common Stock</w:t>
      </w:r>
    </w:p>
    <w:p>
      <w:pPr>
        <w:spacing w:after="0" w:line="22"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24,570,241 shares of Class B Common Stock</w:t>
      </w:r>
    </w:p>
    <w:p>
      <w:pPr>
        <w:spacing w:after="0" w:line="164"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In addition,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w:t>
      </w:r>
    </w:p>
    <w:p>
      <w:pPr>
        <w:spacing w:after="0" w:line="13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Our Class A common stock has voting rights and our Class B common stock does not have voting rights under our Amended Charter. See “Common Stock - Voting Rights” and “Preferred Stock - Voting Rights” below for further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Class B common stock has the same rights and powers of, ranks equally to, shares ratably with and is identical in all respects, and as to all matters to Class A common stock; except that our Class B common stock is non-voting and is not entitled to any votes on any matter that is submitted to a vote of our stockholders, except as required by Delaware law.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Class B common stock is non-voting and is not entitled to any votes on any matter that is submitted to a vote of our stockholders, except as required by Delaware law, for instance, if we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were to:</w:t>
      </w:r>
    </w:p>
    <w:p>
      <w:pPr>
        <w:spacing w:after="0" w:line="164" w:lineRule="exact"/>
        <w:rPr>
          <w:sz w:val="20"/>
          <w:szCs w:val="20"/>
          <w:color w:val="auto"/>
        </w:rPr>
      </w:pPr>
    </w:p>
    <w:p>
      <w:pPr>
        <w:ind w:left="520" w:hanging="261"/>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par value of the common stock; or</w:t>
      </w:r>
    </w:p>
    <w:p>
      <w:pPr>
        <w:spacing w:after="0" w:line="22" w:lineRule="exact"/>
        <w:rPr>
          <w:rFonts w:ascii="Times New Roman" w:cs="Times New Roman" w:eastAsia="Times New Roman" w:hAnsi="Times New Roman"/>
          <w:sz w:val="14"/>
          <w:szCs w:val="14"/>
          <w:color w:val="auto"/>
        </w:rPr>
      </w:pPr>
    </w:p>
    <w:p>
      <w:pPr>
        <w:ind w:left="520" w:hanging="261"/>
        <w:spacing w:after="0" w:line="495"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our Amended Charter to alter the powers, preferences, or special rights of the common stock as a whole in a way that would adversely affect the holders of our Class B common stock. Generally, for changes in par value, it would require the majority approval of all holders of our common stock to approve such change.</w:t>
      </w: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addition, Delaware law would permit holders of Class B common stock to vote separately, as a single class, if an amendment to our Amended Charter would adversely affect them by altering the powers, preferences, or special rights of the Class B common stock, but not the Class A common stock. As a result, in these limited instances, the holders of a majority of the Class B common stock could defeat any amendment to our Amended Charter. For example, if a proposed amendment of our Amended Charter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Amended Charter.</w:t>
      </w:r>
    </w:p>
    <w:p>
      <w:pPr>
        <w:spacing w:after="0" w:line="14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Further, upon and following the “Final Conversion Date” -defined as the date that no shares of Class A common stock remain outstanding-holders of Class B common stock will be entitled to one vote per share.</w:t>
      </w:r>
    </w:p>
    <w:p>
      <w:pPr>
        <w:spacing w:after="0" w:line="1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Amended Charter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Amended Charter without the consent of the holders of our Class B common stock.</w:t>
      </w:r>
    </w:p>
    <w:p>
      <w:pPr>
        <w:spacing w:after="0" w:line="14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Election of Directors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holders of the Class A common stock shall be entitled to elect, remove and replace all directors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180"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class of capital stock having prior rights to dividends, the holders of the Class A common stock and the Class B common stock shall be entitled to receive, on a pari passu basis, when and as declared by the Board of Directors, out of any assets of the Company legally available therefore, such dividends as may be declared from time to time by the Board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Liquidation Rights</w:t>
      </w:r>
    </w:p>
    <w:p>
      <w:pPr>
        <w:spacing w:after="0" w:line="180"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class of capital stock having prior rights to dividends, in the event of the Company’s liquidation, or winding up, whether voluntary or involuntary, subject to the rights of any Preferred Stock that may then be outstanding, the assets of the Company legally available for distribution to stockholders shall be distributed on an equal priority, pro rata basis to the holders of Class A and Class B common stock, treated as a single class.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color w:val="auto"/>
        </w:rPr>
        <w:t>Conversion Rights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Each share of Class A common stock is convertible at any time at the option of the holder into one share of Class B common stock.</w:t>
      </w:r>
    </w:p>
    <w:p>
      <w:pPr>
        <w:spacing w:after="0" w:line="17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On any transfer of shares of Class A common stock, whether or not for value, each such transferred share will automatically convert into one share of Class B common stock, except for certain transfers described in our Amended Charter, including certain transfers for tax and estate planning purposes, transfers approved by our Board, and transfers to certain family members.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Right of First Refusal</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2,266,105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Rights</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Holders of Aptera’s Class A and Class B common stock have no preemptive, subscription or other rights, and there are no redemption or sinking fund provisions applicable to Aptera’s Class A or Class B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8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Pursuant to the Amended Charter, our board of directors will have the authority, without further action by our stockholders, to designate and issue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such time as our board of directors determines the specific rights of the holders of Preferred Stock, the potential effects of such an issuance include:</w:t>
      </w:r>
    </w:p>
    <w:p>
      <w:pPr>
        <w:spacing w:after="0" w:line="140" w:lineRule="exact"/>
        <w:rPr>
          <w:sz w:val="20"/>
          <w:szCs w:val="20"/>
          <w:color w:val="auto"/>
        </w:rPr>
      </w:pPr>
    </w:p>
    <w:p>
      <w:pPr>
        <w:ind w:left="520" w:hanging="261"/>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diluting the voting power of the holders of common stock; reducing the likelihood that holders of common stock will receive dividend payments;</w:t>
      </w:r>
    </w:p>
    <w:p>
      <w:pPr>
        <w:spacing w:after="0" w:line="22"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likelihood that holders of common stock will receive payments in the event of our liquidation, dissolution, or winding up; and</w:t>
      </w:r>
    </w:p>
    <w:p>
      <w:pPr>
        <w:spacing w:after="0" w:line="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delaying, deterring, or preventing a change-in-control or other corporate takeover.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 Classes of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80"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Our Class B common stock is non-voting and is not entitled to any votes on any matter that is submitted to a vote of our stockholders, except as required by Delaware law. Delaware law would permit holders of Class B common stock to vote, with one vote per share, on a matter if we were to:</w:t>
      </w:r>
    </w:p>
    <w:p>
      <w:pPr>
        <w:spacing w:after="0" w:line="125" w:lineRule="exact"/>
        <w:rPr>
          <w:sz w:val="20"/>
          <w:szCs w:val="20"/>
          <w:color w:val="auto"/>
        </w:rPr>
      </w:pPr>
    </w:p>
    <w:p>
      <w:pPr>
        <w:ind w:left="520" w:hanging="261"/>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par value of the common stock; or</w:t>
      </w:r>
    </w:p>
    <w:p>
      <w:pPr>
        <w:spacing w:after="0" w:line="22"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our Amended Charter to alter the powers, preferences, or special rights of the common stock as a whole in a way that would adversely affect the holders of our Class B common stock.</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17" w:name="page18"/>
    <w:bookmarkEnd w:id="17"/>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addition, Delaware law would permit holders of Class B common stock to vote separately, as a single class, if an amendment to our Amended Charter would adversely affect them by altering the powers, preferences, or special rights of the Class B common stock, but not the Class A common stock. As a result, in these limited instances, the holders of a majority of the Class B common stock could defeat any amendment to our Amended Charter. For example, if a proposed amendment of our Amended Charter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Amended Charter.</w:t>
      </w:r>
    </w:p>
    <w:p>
      <w:pPr>
        <w:spacing w:after="0" w:line="14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Further, upon and following the “Final Conversion Date” -defined as the date that no shares of Class A common stock remain outstanding-holders of Class B common stock will be entitled to one vote per share.</w:t>
      </w:r>
    </w:p>
    <w:p>
      <w:pPr>
        <w:spacing w:after="0" w:line="1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Amended Charter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Amended Charter without the consent of the holders of our Class B common stock.</w:t>
      </w:r>
    </w:p>
    <w:p>
      <w:pPr>
        <w:spacing w:after="0" w:line="14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Election of Directors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holders of the Class A common stock shall be entitled to elect, remove and replace all directors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Rights</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The holders of the Class A common stock and the Class B common stock shall be entitled to receive, on a pari passu basis, when and as declared by the Board of Directors, out of any assets of the Company legally available therefore, such dividends as may be declared from time to time by the Board of Directors.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In the event of the Company’s liquidation, or winding up, whether voluntary or involuntary, subject to the rights of any Preferred Stock that may then be outstanding, the assets of the Company legally available for distribution to stockholders shall be distributed on an equal priority, pro rata basis to the holders of Class A and Class B common stock, treated as a single class.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Rights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Each share of Class A common stock is convertible at any time at the option of the holder into one share of Class B common stock.</w:t>
      </w:r>
    </w:p>
    <w:p>
      <w:pPr>
        <w:spacing w:after="0" w:line="17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On any transfer of shares of Class A common stock, whether or not for value, each such transferred share will automatically convert into one share of Class B common stock, except for certain transfers described in our Amended Charter, including certain transfers for tax and estate planning purposes, transfers approved by our Board, and transfers to certain family members.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Right of First Refusal</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2,266,105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Rights</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Holders of Aptera’s Class A and Class B common stock have no preemptive, subscription or other rights, and there are no redemption or sinking fund provisions applicable to Aptera’s Class A or Class B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Benefit Corporation Status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We are a public benefit corporation under subchapter XV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Amended Charter. We are also required to assess our benefit performance internally and to disclose to stockholders at least biennially a report that details our promotion of the public benefits identified in our Amended Charter and of the best interests of those materially affected by our conduct. We expect that our board of directors will measure our benefit performance against the objectives and standards proposed by the Company and approved by the board of directors. When determining the objectives and standards by which our board of directors will measure our public benefit performance, our board of directors will consider, among other factors, whether the objectives and standards are (i) comprehensive in that they assess the positive impact of our business on the communities in which we operate, and society and the environment, taken as a whole, (ii) credible in that they are comparable to the objectives and standards created by independent third parties that evaluate the corporate ethics, sustainability and governance practices of other public benefit corporations, and (iii) transparent in that the criteria considered for measuring such objectives and standards be made publicly available, including disclosing the process by which revisions to the objectives and standards are made and whether such objectives and standards present real or potential conflicts of interests.</w:t>
      </w:r>
    </w:p>
    <w:p>
      <w:pPr>
        <w:spacing w:after="0" w:line="14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Under the Delaware General Corporation Law, our stockholders may bring a derivative suit to enforce this requirement only if they own (individually or collectively), at least 2% of our outstanding shares or, upon our listing, the lesser of such percentage or shares of at least $2 million in market value.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Exclusive Forum Provision of our Certificate of Incorporation</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Our Amended Charter contains exclusive forum provisions that designate specific courts as the exclusive forums for certain legal actions. These provisions are intended to reduce the risk of costly and duplicative litigation, but may limit a stockholder’s ability to bring claims in a judicial forum of their choosing.</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Specifically, our Amended Charter provides that, to the fullest extent permitted by law, the Court of Chancery of the State of Delaware will be the exclusive forum for:</w:t>
      </w:r>
    </w:p>
    <w:p>
      <w:pPr>
        <w:spacing w:after="0" w:line="178" w:lineRule="exact"/>
        <w:rPr>
          <w:sz w:val="20"/>
          <w:szCs w:val="20"/>
          <w:color w:val="auto"/>
        </w:rPr>
      </w:pPr>
    </w:p>
    <w:p>
      <w:pPr>
        <w:ind w:left="520" w:hanging="261"/>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22"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fiduciary duty;</w:t>
      </w:r>
    </w:p>
    <w:p>
      <w:pPr>
        <w:spacing w:after="0" w:line="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arising pursuant to the Delaware General Corporation Law (DGCL), our Amended Charter, or our Bylaws; and</w:t>
      </w:r>
    </w:p>
    <w:p>
      <w:pPr>
        <w:spacing w:after="0" w:line="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governed by the internal affairs doctrine.</w:t>
      </w:r>
    </w:p>
    <w:p>
      <w:pPr>
        <w:spacing w:after="0" w:line="16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In addition, our Amended Charter contains a federal forum provision that provides that the U.S. federal district courts shall be the exclusive forum for the resolution of any complaint asserting a cause of action arising under the Securities Act to the fullest extent permitted by law.</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These exclusive forum provisions do not apply to claims under the Exchange Act which is subject to exclusive federal jurisdiction under Section 27 of the Exchange Act.</w:t>
      </w:r>
    </w:p>
    <w:p>
      <w:pPr>
        <w:spacing w:after="0" w:line="2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Any person or entity purchasing or otherwise acquiring or holding any interest in our securities will be deemed to have notice of, and consented to, these exclusive forum provisions, including the federal forum provision.</w:t>
      </w:r>
    </w:p>
    <w:p>
      <w:pPr>
        <w:spacing w:after="0" w:line="139"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These provisions may limit our stockholders’ ability to bring a claim in a forum they find favorable and may discourage lawsuits against us or our directors, officers, or employees. If a court were to find any of these provisions to be inapplicable or unenforceable in a particular case, we could incur additional costs associated with resolving the dispute in alternative jurisdictions, which could adversely affect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Common Stock is quoted on Nasdaq under the symbol “SEV.”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transfer agent of our Common Stock is Computershare Trust Company, N.A.</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validity of the shares of Common Stock offered hereby will be passed upon for us by Lowenstein Sandler LLP, New York, New York.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financial statements of Aptera Motors Corp. as of December 31, 2025 and 2024, and for the years then ended, appearing in Aptera Motor Corp.’s Annual Report on Form 10-K for the year ended December 31, 2025, have been audited by dbbMcKennon, independent registered public accounting firm, as set forth in their report thereon and incorporated herein by reference. Such financial statements are incorporated herein by reference in reliance upon such report of dbbMcKennon pertaining to such financial statements given on the authority of such firm as experts in auditing and accounting.</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We have filed with the Securities and Exchange Commission (“SEC”) a registration statement on Form S-1 under the Securities Act, as amended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spacing w:after="0" w:line="13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 xml:space="preserve">In addition, we maintain a website at the following address: </w:t>
      </w:r>
      <w:r>
        <w:rPr>
          <w:rFonts w:ascii="Times New Roman" w:cs="Times New Roman" w:eastAsia="Times New Roman" w:hAnsi="Times New Roman"/>
          <w:sz w:val="14"/>
          <w:szCs w:val="14"/>
          <w:i w:val="1"/>
          <w:iCs w:val="1"/>
          <w:color w:val="auto"/>
        </w:rPr>
        <w:t>https://aptera.us</w:t>
      </w:r>
      <w:r>
        <w:rPr>
          <w:rFonts w:ascii="Times New Roman" w:cs="Times New Roman" w:eastAsia="Times New Roman" w:hAnsi="Times New Roman"/>
          <w:sz w:val="14"/>
          <w:szCs w:val="14"/>
          <w:color w:val="auto"/>
        </w:rPr>
        <w:t>. The information on our website is not incorporated by reference in this prospectus. We also make available on or through our website certain reports and amendments to those reports that we file with or furnish to the SEC in accordance with the Securities Exchange Act of 1934, as amended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In addition, we routinely post on the “Investors” page of our website news releases, announcements and other statements about our business and results of operations, some of which may contain information that may be deemed material to investors. Therefore, we encourage investors to monitor the “Investors” page of our website and review the information we post on that page.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0"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incorporate by reference the documents listed below that we have previously filed with the SEC:</w:t>
      </w:r>
    </w:p>
    <w:p>
      <w:pPr>
        <w:spacing w:after="0" w:line="178" w:lineRule="exact"/>
        <w:rPr>
          <w:sz w:val="20"/>
          <w:szCs w:val="20"/>
          <w:color w:val="auto"/>
        </w:rPr>
      </w:pPr>
    </w:p>
    <w:p>
      <w:pPr>
        <w:ind w:left="520" w:hanging="261"/>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2">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on March 30, 2026;</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t>
      </w:r>
      <w:hyperlink r:id="rId33">
        <w:r>
          <w:rPr>
            <w:rFonts w:ascii="Times New Roman" w:cs="Times New Roman" w:eastAsia="Times New Roman" w:hAnsi="Times New Roman"/>
            <w:sz w:val="14"/>
            <w:szCs w:val="14"/>
            <w:u w:val="single" w:color="auto"/>
            <w:color w:val="0000EE"/>
          </w:rPr>
          <w:t>January 26, 2026</w:t>
        </w:r>
      </w:hyperlink>
      <w:r>
        <w:rPr>
          <w:rFonts w:ascii="Times New Roman" w:cs="Times New Roman" w:eastAsia="Times New Roman" w:hAnsi="Times New Roman"/>
          <w:sz w:val="14"/>
          <w:szCs w:val="14"/>
          <w:color w:val="auto"/>
        </w:rPr>
        <w:t xml:space="preserve">, and </w:t>
      </w:r>
      <w:hyperlink r:id="rId34">
        <w:r>
          <w:rPr>
            <w:rFonts w:ascii="Times New Roman" w:cs="Times New Roman" w:eastAsia="Times New Roman" w:hAnsi="Times New Roman"/>
            <w:sz w:val="14"/>
            <w:szCs w:val="14"/>
            <w:u w:val="single" w:color="auto"/>
            <w:color w:val="0000EE"/>
          </w:rPr>
          <w:t>March 12,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(other than any portions deemed furnished and not filed); and</w:t>
      </w:r>
    </w:p>
    <w:p>
      <w:pPr>
        <w:spacing w:after="0" w:line="178" w:lineRule="exact"/>
        <w:rPr>
          <w:rFonts w:ascii="Times New Roman" w:cs="Times New Roman" w:eastAsia="Times New Roman" w:hAnsi="Times New Roman"/>
          <w:sz w:val="14"/>
          <w:szCs w:val="14"/>
          <w:color w:val="auto"/>
        </w:rPr>
      </w:pPr>
    </w:p>
    <w:p>
      <w:pPr>
        <w:ind w:left="520" w:hanging="261"/>
        <w:spacing w:after="0" w:line="286"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35">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filed with the SEC on September 30, 2025, including any amendments thereto or reports filed for the purposes of updating this description, including </w:t>
      </w:r>
      <w:hyperlink r:id="rId36">
        <w:r>
          <w:rPr>
            <w:rFonts w:ascii="Times New Roman" w:cs="Times New Roman" w:eastAsia="Times New Roman" w:hAnsi="Times New Roman"/>
            <w:sz w:val="14"/>
            <w:szCs w:val="14"/>
            <w:u w:val="single" w:color="auto"/>
            <w:color w:val="0000EE"/>
          </w:rPr>
          <w:t>Exhibit 4.12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2025, filed with the SEC on March 30, 2026.</w:t>
      </w:r>
    </w:p>
    <w:p>
      <w:pPr>
        <w:spacing w:after="0" w:line="125" w:lineRule="exact"/>
        <w:rPr>
          <w:rFonts w:ascii="Times New Roman" w:cs="Times New Roman" w:eastAsia="Times New Roman" w:hAnsi="Times New Roman"/>
          <w:sz w:val="14"/>
          <w:szCs w:val="14"/>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40" w:lineRule="exact"/>
        <w:rPr>
          <w:rFonts w:ascii="Times New Roman" w:cs="Times New Roman" w:eastAsia="Times New Roman" w:hAnsi="Times New Roman"/>
          <w:sz w:val="14"/>
          <w:szCs w:val="14"/>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37"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3269615</wp:posOffset>
            </wp:positionH>
            <wp:positionV relativeFrom="page">
              <wp:posOffset>371475</wp:posOffset>
            </wp:positionV>
            <wp:extent cx="1009650" cy="1016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09650" cy="101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APTERA MOTORS CORP.</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4,751,250 Shares of Class B Common Stock</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Issuable Upon Exercise of Outstanding Warrants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231775</wp:posOffset>
            </wp:positionV>
            <wp:extent cx="71615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0"/>
        </w:trPr>
        <w:tc>
          <w:tcPr>
            <w:tcW w:w="9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400" w:type="dxa"/>
            <w:vAlign w:val="bottom"/>
          </w:tcPr>
          <w:p>
            <w:pPr>
              <w:spacing w:after="0"/>
              <w:rPr>
                <w:sz w:val="14"/>
                <w:szCs w:val="14"/>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25,000</w:t>
            </w:r>
          </w:p>
        </w:tc>
      </w:tr>
      <w:tr>
        <w:trPr>
          <w:trHeight w:val="170"/>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4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25,000</w:t>
            </w:r>
          </w:p>
        </w:tc>
      </w:tr>
      <w:tr>
        <w:trPr>
          <w:trHeight w:val="170"/>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Transfer Agent and Registrar fees and expenses</w:t>
            </w:r>
          </w:p>
        </w:tc>
        <w:tc>
          <w:tcPr>
            <w:tcW w:w="4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4"/>
                <w:szCs w:val="14"/>
                <w:color w:val="auto"/>
              </w:rPr>
            </w:pPr>
          </w:p>
        </w:tc>
      </w:tr>
      <w:tr>
        <w:trPr>
          <w:trHeight w:val="170"/>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4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4"/>
                <w:szCs w:val="14"/>
                <w:color w:val="auto"/>
              </w:rPr>
            </w:pPr>
          </w:p>
        </w:tc>
      </w:tr>
      <w:tr>
        <w:trPr>
          <w:trHeight w:val="184"/>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61,818</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As permitted by the DGCL, the registrant’s Amended Charter that will be in effect following the effectiveness of this registration statement contains provisions that eliminate the personal liability of its directors for monetary damages for any breach of fiduciary duties as a director, except liability for the following:</w:t>
      </w:r>
    </w:p>
    <w:p>
      <w:pPr>
        <w:spacing w:after="0" w:line="125" w:lineRule="exact"/>
        <w:rPr>
          <w:sz w:val="20"/>
          <w:szCs w:val="20"/>
          <w:color w:val="auto"/>
        </w:rPr>
      </w:pPr>
    </w:p>
    <w:p>
      <w:pPr>
        <w:ind w:left="520" w:hanging="261"/>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duty of loyalty to the registrant or its stockholders;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not in good faith or that involve intentional misconduct or a knowing violation of law;</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Section 174 of the DGCL (regarding unlawful dividends and stock purchases); or</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derived an improper personal benefit.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permitted by the DGCL, the registrant’s Bylaws provide that:</w:t>
      </w:r>
    </w:p>
    <w:p>
      <w:pPr>
        <w:spacing w:after="0" w:line="178" w:lineRule="exact"/>
        <w:rPr>
          <w:sz w:val="20"/>
          <w:szCs w:val="20"/>
          <w:color w:val="auto"/>
        </w:rPr>
      </w:pPr>
    </w:p>
    <w:p>
      <w:pPr>
        <w:ind w:left="520" w:hanging="261"/>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required to indemnify its directors and executive officers to the fullest extent permitted by the DGCL, subject to very limited exceptions;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may indemnify its other employees and agents as set forth in the DGCL;</w:t>
      </w:r>
    </w:p>
    <w:p>
      <w:pPr>
        <w:spacing w:after="0" w:line="178" w:lineRule="exact"/>
        <w:rPr>
          <w:rFonts w:ascii="Times New Roman" w:cs="Times New Roman" w:eastAsia="Times New Roman" w:hAnsi="Times New Roman"/>
          <w:sz w:val="14"/>
          <w:szCs w:val="14"/>
          <w:color w:val="auto"/>
        </w:rPr>
      </w:pPr>
    </w:p>
    <w:p>
      <w:pPr>
        <w:ind w:left="520" w:hanging="261"/>
        <w:spacing w:after="0" w:line="286"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12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conferred in the Bylaws are not exclusive.</w:t>
      </w:r>
    </w:p>
    <w:p>
      <w:pPr>
        <w:spacing w:after="0" w:line="17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The indemnification provisions in the registrant’s Amended Charter and Bylaws may be sufficiently broad to permit indemnification of the registrant’s directors and executive officers for liabilities arising under the Securities Act.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23" w:name="page24"/>
    <w:bookmarkEnd w:id="23"/>
    <w:p>
      <w:pPr>
        <w:jc w:val="both"/>
        <w:spacing w:after="0" w:line="269" w:lineRule="auto"/>
        <w:rPr>
          <w:sz w:val="20"/>
          <w:szCs w:val="20"/>
          <w:color w:val="auto"/>
        </w:rPr>
      </w:pPr>
      <w:r>
        <w:rPr>
          <w:rFonts w:ascii="Times New Roman" w:cs="Times New Roman" w:eastAsia="Times New Roman" w:hAnsi="Times New Roman"/>
          <w:sz w:val="14"/>
          <w:szCs w:val="14"/>
          <w:color w:val="auto"/>
        </w:rPr>
        <w:t>We plan to enter into indemnification agreements with each of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made the following securities of the registrant sold by the registrant within the past three years which were not registered under the Securities Act:</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Employee Stock Options (Rule 701): </w:t>
      </w:r>
      <w:r>
        <w:rPr>
          <w:rFonts w:ascii="Times New Roman" w:cs="Times New Roman" w:eastAsia="Times New Roman" w:hAnsi="Times New Roman"/>
          <w:sz w:val="14"/>
          <w:szCs w:val="14"/>
          <w:color w:val="auto"/>
        </w:rPr>
        <w:t>Beginning in March 17, 2022, the Company issued 1,980,830 shares of Class B Common Stock to directors, officers, employees, consultants, and service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providers upon the exercise of options under the 2021 Stock Option and Incentive Plan, at per share purchase prices ranging from $27.60 to $31.50, in reliance on Rule 701 of the Securities 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Private Placements (Section 4(a)(2)):</w:t>
      </w:r>
    </w:p>
    <w:p>
      <w:pPr>
        <w:spacing w:after="0" w:line="180" w:lineRule="exact"/>
        <w:rPr>
          <w:sz w:val="20"/>
          <w:szCs w:val="20"/>
          <w:color w:val="auto"/>
        </w:rPr>
      </w:pPr>
    </w:p>
    <w:p>
      <w:pPr>
        <w:ind w:left="520" w:hanging="261"/>
        <w:spacing w:after="0" w:line="286"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the Company issued 69,343 shares of Class B Common Stock to 9 separate service providers (5 of which are individuals (one of which was an employee of the Company), and 4 of which are entities) as consideration for approximately $2.2 million in services rendered to the Company.</w:t>
      </w:r>
    </w:p>
    <w:p>
      <w:pPr>
        <w:spacing w:after="0" w:line="125" w:lineRule="exact"/>
        <w:rPr>
          <w:rFonts w:ascii="Times New Roman" w:cs="Times New Roman" w:eastAsia="Times New Roman" w:hAnsi="Times New Roman"/>
          <w:sz w:val="14"/>
          <w:szCs w:val="14"/>
          <w:color w:val="auto"/>
        </w:rPr>
      </w:pPr>
    </w:p>
    <w:p>
      <w:pPr>
        <w:ind w:left="520" w:hanging="261"/>
        <w:spacing w:after="0" w:line="286"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2022, the Company issued SAFE Agreements in the amount of $80 thousand to a service provider as consideration for services rendered, which was subsequently converted into Series B-1 Preferred Stock on August 25, 2022.</w:t>
      </w:r>
    </w:p>
    <w:p>
      <w:pPr>
        <w:spacing w:after="0" w:line="125" w:lineRule="exact"/>
        <w:rPr>
          <w:rFonts w:ascii="Times New Roman" w:cs="Times New Roman" w:eastAsia="Times New Roman" w:hAnsi="Times New Roman"/>
          <w:sz w:val="14"/>
          <w:szCs w:val="14"/>
          <w:color w:val="auto"/>
        </w:rPr>
      </w:pPr>
    </w:p>
    <w:p>
      <w:pPr>
        <w:ind w:left="520" w:hanging="261"/>
        <w:spacing w:after="0" w:line="286"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2024, the Company sold $675,000 worth of convertible notes to non-affiliated accredited investors, bearing 12% annual interest and maturing in 24 months, convertible into common stock.</w:t>
      </w:r>
    </w:p>
    <w:p>
      <w:pPr>
        <w:spacing w:after="0" w:line="125" w:lineRule="exact"/>
        <w:rPr>
          <w:rFonts w:ascii="Times New Roman" w:cs="Times New Roman" w:eastAsia="Times New Roman" w:hAnsi="Times New Roman"/>
          <w:sz w:val="14"/>
          <w:szCs w:val="14"/>
          <w:color w:val="auto"/>
        </w:rPr>
      </w:pPr>
    </w:p>
    <w:p>
      <w:pPr>
        <w:jc w:val="both"/>
        <w:ind w:left="520" w:hanging="261"/>
        <w:spacing w:after="0" w:line="261"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December 31, 2024, the Company issued to Amato and Partners, LLC, a vendor of the Company, a warrant to purchase 333,333 shares with an exercise price of $31.50. This warrant vests monthly through May 15, 2025, and expires on November 15, 2034. The Company has issued to the same vendor a warrant for 533,333 shares with an exercise price equal to the fair market value as described therein, and this warrant only vests and becomes exercisable at certain change of control events and expires on November 15, 2034. The Company has also issued warrants to US Capital Global Securities, LLC pursuant to four separate warrant agreements for an aggregate of 1,500 shares with an exercise price of $0.0001 and all of which expire in the third and fourth quarter of 2029.</w:t>
      </w:r>
    </w:p>
    <w:p>
      <w:pPr>
        <w:spacing w:after="0" w:line="142" w:lineRule="exact"/>
        <w:rPr>
          <w:rFonts w:ascii="Times New Roman" w:cs="Times New Roman" w:eastAsia="Times New Roman" w:hAnsi="Times New Roman"/>
          <w:sz w:val="14"/>
          <w:szCs w:val="14"/>
          <w:color w:val="auto"/>
        </w:rPr>
      </w:pPr>
    </w:p>
    <w:p>
      <w:pPr>
        <w:jc w:val="both"/>
        <w:ind w:left="520" w:hanging="261"/>
        <w:spacing w:after="0" w:line="269"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June 30, 2025, the Company issued 347 shares of Class B common stock to external consultants as compensation for services rendered. The aggregate grant-date fair value of these shares was approximately $15 thousand, based on a weighted-average issuance price of $44.40. The fair value was determined based on the contemporaneous cash sale prices of Class B common stock to third-party investors.</w:t>
      </w:r>
    </w:p>
    <w:p>
      <w:pPr>
        <w:spacing w:after="0" w:line="137" w:lineRule="exact"/>
        <w:rPr>
          <w:rFonts w:ascii="Times New Roman" w:cs="Times New Roman" w:eastAsia="Times New Roman" w:hAnsi="Times New Roman"/>
          <w:sz w:val="14"/>
          <w:szCs w:val="14"/>
          <w:color w:val="auto"/>
        </w:rPr>
      </w:pPr>
    </w:p>
    <w:p>
      <w:pPr>
        <w:jc w:val="both"/>
        <w:ind w:left="520" w:hanging="261"/>
        <w:spacing w:after="0" w:line="269"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January 2026, in connection with its registered public offering, the Company entered into a placement agency agreement, dated January 22, 2026, with A.G.P./Alliance Global Partners (the “Placement Agent”) pursuant to which the Company issued to the Placement Agent warrants to purchase up to an aggregate of 135,000 shares of Class B common Stock at an exercise price equal to $2.10 per share. The Placement Agent warrants became exercisable immediately and have a term of five years.</w:t>
      </w:r>
    </w:p>
    <w:p>
      <w:pPr>
        <w:spacing w:after="0" w:line="137" w:lineRule="exact"/>
        <w:rPr>
          <w:rFonts w:ascii="Times New Roman" w:cs="Times New Roman" w:eastAsia="Times New Roman" w:hAnsi="Times New Roman"/>
          <w:sz w:val="14"/>
          <w:szCs w:val="14"/>
          <w:color w:val="auto"/>
        </w:rPr>
      </w:pPr>
    </w:p>
    <w:p>
      <w:pPr>
        <w:ind w:left="520" w:hanging="261"/>
        <w:spacing w:after="0" w:line="286"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March 2026, the Company issued to certain holders of existing warrants new warrants (the “Inducement Warrants”) to purchase up to 4,751,250 shares of Class B common stock. The Inducement Warrants have an exercise price of $3.50 per share, became exercisable immediately and will expire on the five-year anniversary of their issuance date.</w:t>
      </w:r>
    </w:p>
    <w:p>
      <w:pPr>
        <w:spacing w:after="0" w:line="1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The proceeds from each of the private placements set forth above was used for working capital and general corporate purposes. No intermediary was involved in any of the offerings set forth above.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Regulation A Offerings:</w:t>
      </w:r>
    </w:p>
    <w:p>
      <w:pPr>
        <w:spacing w:after="0" w:line="180" w:lineRule="exact"/>
        <w:rPr>
          <w:sz w:val="20"/>
          <w:szCs w:val="20"/>
          <w:color w:val="auto"/>
        </w:rPr>
      </w:pPr>
    </w:p>
    <w:p>
      <w:pPr>
        <w:ind w:left="520" w:hanging="261"/>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the Company sold 1,076,716 shares of Class B Common Stock for approximately $33.9 million.</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2024, the Company sold 322,037 shares of Class B Common Stock for approximately $10.2 million.</w:t>
      </w:r>
    </w:p>
    <w:p>
      <w:pPr>
        <w:spacing w:after="0" w:line="176"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From June 30, 2025 to July 26, 2025 (the termination date of this offering), the Company sold 48,400 </w:t>
      </w:r>
      <w:r>
        <w:rPr>
          <w:rFonts w:ascii="Times New Roman" w:cs="Times New Roman" w:eastAsia="Times New Roman" w:hAnsi="Times New Roman"/>
          <w:sz w:val="14"/>
          <w:szCs w:val="14"/>
          <w:i w:val="1"/>
          <w:iCs w:val="1"/>
          <w:color w:val="auto"/>
        </w:rPr>
        <w:t>shares of Class B</w:t>
      </w:r>
      <w:r>
        <w:rPr>
          <w:rFonts w:ascii="Times New Roman" w:cs="Times New Roman" w:eastAsia="Times New Roman" w:hAnsi="Times New Roman"/>
          <w:sz w:val="14"/>
          <w:szCs w:val="14"/>
          <w:color w:val="auto"/>
        </w:rPr>
        <w:t xml:space="preserve"> Common Stock for approximately $2.1 million.</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For all Regulation A offerings set forth above, Dalmore LLC and/or OpenDeal Broker LLC acted as broker-dealers, receiving aggregate commissions of 1% of the total proceeds. The sales were to retail investors and the proceeds from each of the Regulation A offerings set forth above was used for working capital and general corporate purposes.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D 506(c) Offerings:</w:t>
      </w:r>
    </w:p>
    <w:p>
      <w:pPr>
        <w:spacing w:after="0" w:line="180" w:lineRule="exact"/>
        <w:rPr>
          <w:sz w:val="20"/>
          <w:szCs w:val="20"/>
          <w:color w:val="auto"/>
        </w:rPr>
      </w:pPr>
    </w:p>
    <w:p>
      <w:pPr>
        <w:ind w:left="520" w:hanging="261"/>
        <w:spacing w:after="0" w:line="286"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2024, the Company sold 256,708 shares of Class B common stock for approximately $7.5 million to a large number of accredited investors with no material relationship to the Company.</w:t>
      </w:r>
    </w:p>
    <w:p>
      <w:pPr>
        <w:spacing w:after="0" w:line="123" w:lineRule="exact"/>
        <w:rPr>
          <w:rFonts w:ascii="Times New Roman" w:cs="Times New Roman" w:eastAsia="Times New Roman" w:hAnsi="Times New Roman"/>
          <w:sz w:val="14"/>
          <w:szCs w:val="14"/>
          <w:color w:val="auto"/>
        </w:rPr>
      </w:pPr>
    </w:p>
    <w:p>
      <w:pPr>
        <w:ind w:left="520" w:hanging="261"/>
        <w:spacing w:after="0" w:line="289"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June 30, 2025 to August 27</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2025, the Company sold 22,468 shares of Class B Common Stock for approximately $0.7 million to a large number of accredited investors with no material relationship to the Company.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proceeds from each of the Regulation D offerings set forth above was used for working capital and general corporate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Crowdfunding Offering:</w:t>
      </w:r>
    </w:p>
    <w:p>
      <w:pPr>
        <w:spacing w:after="0" w:line="180" w:lineRule="exact"/>
        <w:rPr>
          <w:sz w:val="20"/>
          <w:szCs w:val="20"/>
          <w:color w:val="auto"/>
        </w:rPr>
      </w:pPr>
    </w:p>
    <w:p>
      <w:pPr>
        <w:ind w:left="520" w:hanging="261"/>
        <w:spacing w:after="0" w:line="286"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May 30, 2024, to September 19, 2024, the Company sold 158,503 shares of Class B Common Stock for approximately $4,992,855. Jumpstart Micro, Inc. acted as the broker-dealer, receiving $249,643 in commissions.</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The sales for the Regulation Crowdfunding offering were to retail investors and the proceeds from the Regulation Crowdfunding offering set forth above was used for working capital and general corporate purposes.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824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29"/>
        </w:trPr>
        <w:tc>
          <w:tcPr>
            <w:tcW w:w="10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1"/>
                <w:szCs w:val="11"/>
                <w:color w:val="auto"/>
              </w:rPr>
            </w:pPr>
          </w:p>
        </w:tc>
        <w:tc>
          <w:tcPr>
            <w:tcW w:w="4280" w:type="dxa"/>
            <w:vAlign w:val="bottom"/>
            <w:tcBorders>
              <w:top w:val="single" w:sz="8" w:color="auto"/>
              <w:bottom w:val="single" w:sz="8" w:color="0000EE"/>
            </w:tcBorders>
            <w:gridSpan w:val="9"/>
          </w:tcPr>
          <w:p>
            <w:pPr>
              <w:spacing w:after="0" w:line="129" w:lineRule="exact"/>
              <w:rPr>
                <w:rFonts w:ascii="Times New Roman" w:cs="Times New Roman" w:eastAsia="Times New Roman" w:hAnsi="Times New Roman"/>
                <w:sz w:val="14"/>
                <w:szCs w:val="14"/>
                <w:color w:val="0000EE"/>
              </w:rPr>
            </w:pPr>
            <w:hyperlink r:id="rId42">
              <w:r>
                <w:rPr>
                  <w:rFonts w:ascii="Times New Roman" w:cs="Times New Roman" w:eastAsia="Times New Roman" w:hAnsi="Times New Roman"/>
                  <w:sz w:val="14"/>
                  <w:szCs w:val="14"/>
                  <w:color w:val="0000EE"/>
                </w:rPr>
                <w:t>Amended and Restated Certificate of Incorporation of Aptera Motors Corp.</w:t>
              </w:r>
            </w:hyperlink>
          </w:p>
        </w:tc>
        <w:tc>
          <w:tcPr>
            <w:tcW w:w="3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10/1/2025</w:t>
            </w:r>
          </w:p>
        </w:tc>
      </w:tr>
      <w:tr>
        <w:trPr>
          <w:trHeight w:val="150"/>
        </w:trPr>
        <w:tc>
          <w:tcPr>
            <w:tcW w:w="10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3"/>
                <w:szCs w:val="13"/>
                <w:color w:val="auto"/>
              </w:rPr>
            </w:pPr>
          </w:p>
        </w:tc>
        <w:tc>
          <w:tcPr>
            <w:tcW w:w="8240" w:type="dxa"/>
            <w:vAlign w:val="bottom"/>
            <w:gridSpan w:val="11"/>
          </w:tcPr>
          <w:p>
            <w:pPr>
              <w:spacing w:after="0" w:line="150" w:lineRule="exact"/>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0000EE"/>
                </w:rPr>
                <w:t>Amended and Restated Bylaws of Aptera Motors Corp.</w:t>
              </w:r>
            </w:hyperlink>
          </w:p>
        </w:tc>
        <w:tc>
          <w:tcPr>
            <w:tcW w:w="60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5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76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10/1/2025</w:t>
            </w:r>
          </w:p>
        </w:tc>
      </w:tr>
      <w:tr>
        <w:trPr>
          <w:trHeight w:val="150"/>
        </w:trPr>
        <w:tc>
          <w:tcPr>
            <w:tcW w:w="10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2480" w:type="dxa"/>
            <w:vAlign w:val="bottom"/>
            <w:tcBorders>
              <w:top w:val="single" w:sz="8" w:color="0000EE"/>
              <w:bottom w:val="single" w:sz="8" w:color="0000EE"/>
            </w:tcBorders>
            <w:gridSpan w:val="4"/>
          </w:tcPr>
          <w:p>
            <w:pPr>
              <w:spacing w:after="0" w:line="150" w:lineRule="exact"/>
              <w:rPr>
                <w:rFonts w:ascii="Times New Roman" w:cs="Times New Roman" w:eastAsia="Times New Roman" w:hAnsi="Times New Roman"/>
                <w:sz w:val="14"/>
                <w:szCs w:val="14"/>
                <w:color w:val="0000EE"/>
              </w:rPr>
            </w:pPr>
            <w:hyperlink r:id="rId44">
              <w:r>
                <w:rPr>
                  <w:rFonts w:ascii="Times New Roman" w:cs="Times New Roman" w:eastAsia="Times New Roman" w:hAnsi="Times New Roman"/>
                  <w:sz w:val="14"/>
                  <w:szCs w:val="14"/>
                  <w:color w:val="0000EE"/>
                </w:rPr>
                <w:t>Form of Inducement Warrant (March 2026)</w:t>
              </w:r>
            </w:hyperlink>
          </w:p>
        </w:tc>
        <w:tc>
          <w:tcPr>
            <w:tcW w:w="660" w:type="dxa"/>
            <w:vAlign w:val="bottom"/>
            <w:tcBorders>
              <w:top w:val="single" w:sz="8" w:color="0000EE"/>
            </w:tcBorders>
          </w:tcPr>
          <w:p>
            <w:pPr>
              <w:spacing w:after="0"/>
              <w:rPr>
                <w:sz w:val="13"/>
                <w:szCs w:val="13"/>
                <w:color w:val="auto"/>
              </w:rPr>
            </w:pPr>
          </w:p>
        </w:tc>
        <w:tc>
          <w:tcPr>
            <w:tcW w:w="5100" w:type="dxa"/>
            <w:vAlign w:val="bottom"/>
            <w:gridSpan w:val="6"/>
          </w:tcPr>
          <w:p>
            <w:pPr>
              <w:spacing w:after="0"/>
              <w:rPr>
                <w:sz w:val="13"/>
                <w:szCs w:val="13"/>
                <w:color w:val="auto"/>
              </w:rPr>
            </w:pPr>
          </w:p>
        </w:tc>
        <w:tc>
          <w:tcPr>
            <w:tcW w:w="60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5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3"/>
                <w:szCs w:val="13"/>
                <w:color w:val="auto"/>
              </w:rPr>
            </w:pPr>
          </w:p>
        </w:tc>
        <w:tc>
          <w:tcPr>
            <w:tcW w:w="76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3/12/2026</w:t>
            </w:r>
          </w:p>
        </w:tc>
      </w:tr>
      <w:tr>
        <w:trPr>
          <w:trHeight w:val="150"/>
        </w:trPr>
        <w:tc>
          <w:tcPr>
            <w:tcW w:w="10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3"/>
                <w:szCs w:val="13"/>
                <w:color w:val="auto"/>
              </w:rPr>
            </w:pPr>
          </w:p>
        </w:tc>
        <w:tc>
          <w:tcPr>
            <w:tcW w:w="8240" w:type="dxa"/>
            <w:vAlign w:val="bottom"/>
            <w:gridSpan w:val="11"/>
          </w:tcPr>
          <w:p>
            <w:pPr>
              <w:spacing w:after="0" w:line="150" w:lineRule="exact"/>
              <w:rPr>
                <w:sz w:val="20"/>
                <w:szCs w:val="20"/>
                <w:color w:val="auto"/>
              </w:rPr>
            </w:pPr>
            <w:r>
              <w:rPr>
                <w:rFonts w:ascii="Times New Roman" w:cs="Times New Roman" w:eastAsia="Times New Roman" w:hAnsi="Times New Roman"/>
                <w:sz w:val="14"/>
                <w:szCs w:val="14"/>
                <w:color w:val="0000EE"/>
              </w:rPr>
              <w:t>Opinion of Lowenstein Sandler LLP</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0"/>
        </w:trPr>
        <w:tc>
          <w:tcPr>
            <w:tcW w:w="10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3"/>
                <w:szCs w:val="13"/>
                <w:color w:val="auto"/>
              </w:rPr>
            </w:pPr>
          </w:p>
        </w:tc>
        <w:tc>
          <w:tcPr>
            <w:tcW w:w="1540" w:type="dxa"/>
            <w:vAlign w:val="bottom"/>
            <w:tcBorders>
              <w:top w:val="single" w:sz="8" w:color="0000EE"/>
              <w:bottom w:val="single" w:sz="8" w:color="0000EE"/>
            </w:tcBorders>
            <w:gridSpan w:val="2"/>
          </w:tcPr>
          <w:p>
            <w:pPr>
              <w:spacing w:after="0" w:line="150" w:lineRule="exact"/>
              <w:rPr>
                <w:rFonts w:ascii="Times New Roman" w:cs="Times New Roman" w:eastAsia="Times New Roman" w:hAnsi="Times New Roman"/>
                <w:sz w:val="14"/>
                <w:szCs w:val="14"/>
                <w:color w:val="0000EE"/>
                <w:w w:val="99"/>
              </w:rPr>
            </w:pPr>
            <w:hyperlink r:id="rId45">
              <w:r>
                <w:rPr>
                  <w:rFonts w:ascii="Times New Roman" w:cs="Times New Roman" w:eastAsia="Times New Roman" w:hAnsi="Times New Roman"/>
                  <w:sz w:val="14"/>
                  <w:szCs w:val="14"/>
                  <w:color w:val="0000EE"/>
                  <w:w w:val="99"/>
                </w:rPr>
                <w:t>Form of Inducement Letter</w:t>
              </w:r>
            </w:hyperlink>
          </w:p>
        </w:tc>
        <w:tc>
          <w:tcPr>
            <w:tcW w:w="520" w:type="dxa"/>
            <w:vAlign w:val="bottom"/>
            <w:tcBorders>
              <w:top w:val="single" w:sz="8" w:color="0000EE"/>
            </w:tcBorders>
          </w:tcPr>
          <w:p>
            <w:pPr>
              <w:spacing w:after="0"/>
              <w:rPr>
                <w:sz w:val="13"/>
                <w:szCs w:val="13"/>
                <w:color w:val="auto"/>
              </w:rPr>
            </w:pPr>
          </w:p>
        </w:tc>
        <w:tc>
          <w:tcPr>
            <w:tcW w:w="6180" w:type="dxa"/>
            <w:vAlign w:val="bottom"/>
            <w:gridSpan w:val="8"/>
          </w:tcPr>
          <w:p>
            <w:pPr>
              <w:spacing w:after="0"/>
              <w:rPr>
                <w:sz w:val="13"/>
                <w:szCs w:val="13"/>
                <w:color w:val="auto"/>
              </w:rPr>
            </w:pPr>
          </w:p>
        </w:tc>
        <w:tc>
          <w:tcPr>
            <w:tcW w:w="60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5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13"/>
                <w:szCs w:val="13"/>
                <w:color w:val="auto"/>
              </w:rPr>
            </w:pPr>
          </w:p>
        </w:tc>
        <w:tc>
          <w:tcPr>
            <w:tcW w:w="76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3/12/2026</w:t>
            </w:r>
          </w:p>
        </w:tc>
      </w:tr>
      <w:tr>
        <w:trPr>
          <w:trHeight w:val="150"/>
        </w:trPr>
        <w:tc>
          <w:tcPr>
            <w:tcW w:w="10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3"/>
                <w:szCs w:val="13"/>
                <w:color w:val="auto"/>
              </w:rPr>
            </w:pPr>
          </w:p>
        </w:tc>
        <w:tc>
          <w:tcPr>
            <w:tcW w:w="3400" w:type="dxa"/>
            <w:vAlign w:val="bottom"/>
            <w:tcBorders>
              <w:bottom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rPr>
              <w:t>Consent of Independent Registered Public Accounting Firm</w:t>
            </w:r>
          </w:p>
        </w:tc>
        <w:tc>
          <w:tcPr>
            <w:tcW w:w="4840" w:type="dxa"/>
            <w:vAlign w:val="bottom"/>
            <w:gridSpan w:val="4"/>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0"/>
        </w:trPr>
        <w:tc>
          <w:tcPr>
            <w:tcW w:w="10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3"/>
                <w:szCs w:val="13"/>
                <w:color w:val="auto"/>
              </w:rPr>
            </w:pPr>
          </w:p>
        </w:tc>
        <w:tc>
          <w:tcPr>
            <w:tcW w:w="3500" w:type="dxa"/>
            <w:vAlign w:val="bottom"/>
            <w:tcBorders>
              <w:bottom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EE"/>
              </w:rPr>
              <w:t>Consent of Lowenstein Sandler LLP (included in Exhibit 5.1)</w:t>
            </w:r>
          </w:p>
        </w:tc>
        <w:tc>
          <w:tcPr>
            <w:tcW w:w="4740" w:type="dxa"/>
            <w:vAlign w:val="bottom"/>
            <w:gridSpan w:val="3"/>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0"/>
        </w:trPr>
        <w:tc>
          <w:tcPr>
            <w:tcW w:w="10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3"/>
                <w:szCs w:val="13"/>
                <w:color w:val="auto"/>
              </w:rPr>
            </w:pPr>
          </w:p>
        </w:tc>
        <w:tc>
          <w:tcPr>
            <w:tcW w:w="8240" w:type="dxa"/>
            <w:vAlign w:val="bottom"/>
            <w:gridSpan w:val="11"/>
          </w:tcPr>
          <w:p>
            <w:pPr>
              <w:spacing w:after="0" w:line="150" w:lineRule="exact"/>
              <w:rPr>
                <w:sz w:val="20"/>
                <w:szCs w:val="20"/>
                <w:color w:val="auto"/>
              </w:rPr>
            </w:pPr>
            <w:r>
              <w:rPr>
                <w:rFonts w:ascii="Times New Roman" w:cs="Times New Roman" w:eastAsia="Times New Roman" w:hAnsi="Times New Roman"/>
                <w:sz w:val="14"/>
                <w:szCs w:val="14"/>
                <w:color w:val="0000EE"/>
              </w:rPr>
              <w:t>Power of Attorney (included in the signature page hereto)</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0"/>
        </w:trPr>
        <w:tc>
          <w:tcPr>
            <w:tcW w:w="10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3"/>
                <w:szCs w:val="13"/>
                <w:color w:val="auto"/>
              </w:rPr>
            </w:pPr>
          </w:p>
        </w:tc>
        <w:tc>
          <w:tcPr>
            <w:tcW w:w="940" w:type="dxa"/>
            <w:vAlign w:val="bottom"/>
            <w:tcBorders>
              <w:top w:val="single" w:sz="8" w:color="0000EE"/>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w w:val="99"/>
              </w:rPr>
              <w:t>Filing Fee Table</w:t>
            </w:r>
          </w:p>
        </w:tc>
        <w:tc>
          <w:tcPr>
            <w:tcW w:w="2320" w:type="dxa"/>
            <w:vAlign w:val="bottom"/>
            <w:tcBorders>
              <w:top w:val="single" w:sz="8" w:color="0000EE"/>
            </w:tcBorders>
            <w:gridSpan w:val="5"/>
          </w:tcPr>
          <w:p>
            <w:pPr>
              <w:spacing w:after="0"/>
              <w:rPr>
                <w:sz w:val="13"/>
                <w:szCs w:val="13"/>
                <w:color w:val="auto"/>
              </w:rPr>
            </w:pPr>
          </w:p>
        </w:tc>
        <w:tc>
          <w:tcPr>
            <w:tcW w:w="4980" w:type="dxa"/>
            <w:vAlign w:val="bottom"/>
            <w:gridSpan w:val="5"/>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spacing w:after="0" w:line="176" w:lineRule="exact"/>
        <w:rPr>
          <w:sz w:val="20"/>
          <w:szCs w:val="20"/>
          <w:color w:val="auto"/>
        </w:rPr>
      </w:pPr>
    </w:p>
    <w:p>
      <w:pPr>
        <w:ind w:left="520" w:hanging="51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78" w:lineRule="exact"/>
        <w:rPr>
          <w:sz w:val="20"/>
          <w:szCs w:val="20"/>
          <w:color w:val="auto"/>
        </w:rPr>
      </w:pPr>
    </w:p>
    <w:p>
      <w:pPr>
        <w:ind w:left="200" w:hanging="195"/>
        <w:spacing w:after="0"/>
        <w:tabs>
          <w:tab w:leader="none" w:pos="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include any prospectus required by section 10(a)(3) of the Securities Act of 1933;</w:t>
      </w:r>
    </w:p>
    <w:p>
      <w:pPr>
        <w:spacing w:after="0" w:line="178" w:lineRule="exact"/>
        <w:rPr>
          <w:sz w:val="20"/>
          <w:szCs w:val="20"/>
          <w:color w:val="auto"/>
        </w:rPr>
      </w:pPr>
    </w:p>
    <w:p>
      <w:pPr>
        <w:jc w:val="both"/>
        <w:ind w:firstLine="5"/>
        <w:spacing w:after="0" w:line="261" w:lineRule="auto"/>
        <w:tabs>
          <w:tab w:leader="none" w:pos="21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42" w:lineRule="exact"/>
        <w:rPr>
          <w:rFonts w:ascii="Times New Roman" w:cs="Times New Roman" w:eastAsia="Times New Roman" w:hAnsi="Times New Roman"/>
          <w:sz w:val="14"/>
          <w:szCs w:val="14"/>
          <w:color w:val="auto"/>
        </w:rPr>
      </w:pPr>
    </w:p>
    <w:p>
      <w:pPr>
        <w:ind w:firstLine="5"/>
        <w:spacing w:after="0" w:line="286" w:lineRule="auto"/>
        <w:tabs>
          <w:tab w:leader="none" w:pos="25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Provided, however, that paragraphs (a)(1)(i), (ii), and (iii) of this section do not apply if the registration statement is on Form S-1 (§ 239.11 of this chapter), Form S-3 (§ 239.13 of this chapter), Form SF-3 (§ 239.45 of this chapter) or Form F-3 (§ 239.33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or, as to a registration statement on Form S-3, Form SF-3 or Form F-3, is contained in a form of prospectus filed pursuant to § 230.424(b) of this chapter that is part of the registration statement.</w:t>
      </w:r>
    </w:p>
    <w:p>
      <w:pPr>
        <w:spacing w:after="0" w:line="142" w:lineRule="exact"/>
        <w:rPr>
          <w:sz w:val="20"/>
          <w:szCs w:val="20"/>
          <w:color w:val="auto"/>
        </w:rPr>
      </w:pPr>
    </w:p>
    <w:p>
      <w:pPr>
        <w:ind w:firstLine="5"/>
        <w:spacing w:after="0" w:line="286" w:lineRule="auto"/>
        <w:tabs>
          <w:tab w:leader="none" w:pos="19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5"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If the registrant is relying on Rule 430B (§ 230.430B of this chapter):</w:t>
      </w:r>
    </w:p>
    <w:p>
      <w:pPr>
        <w:spacing w:after="0" w:line="178" w:lineRule="exact"/>
        <w:rPr>
          <w:sz w:val="20"/>
          <w:szCs w:val="20"/>
          <w:color w:val="auto"/>
        </w:rPr>
      </w:pPr>
    </w:p>
    <w:p>
      <w:pPr>
        <w:ind w:firstLine="5"/>
        <w:spacing w:after="0" w:line="286" w:lineRule="auto"/>
        <w:tabs>
          <w:tab w:leader="none" w:pos="23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 230.424(b)(3) of this chapter) shall be deemed to be part of the registration statement as of the date the filed prospectus was deemed part of and included in the registration statement; and</w:t>
      </w:r>
    </w:p>
    <w:p>
      <w:pPr>
        <w:spacing w:after="0" w:line="125" w:lineRule="exact"/>
        <w:rPr>
          <w:rFonts w:ascii="Times New Roman" w:cs="Times New Roman" w:eastAsia="Times New Roman" w:hAnsi="Times New Roman"/>
          <w:sz w:val="14"/>
          <w:szCs w:val="14"/>
          <w:color w:val="auto"/>
        </w:rPr>
      </w:pPr>
    </w:p>
    <w:p>
      <w:pPr>
        <w:jc w:val="both"/>
        <w:ind w:firstLine="5"/>
        <w:spacing w:after="0" w:line="257" w:lineRule="auto"/>
        <w:tabs>
          <w:tab w:leader="none" w:pos="23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 230.424(b)(2), (b)(5), or (b)(7) of this chapter) as part of a registration statement in reliance on Rule 430B relating to an offering made pursuant to Rule 415(a)(1)(i), (vii), or (x) (§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26" w:name="page27"/>
    <w:bookmarkEnd w:id="26"/>
    <w:p>
      <w:pPr>
        <w:jc w:val="both"/>
        <w:ind w:firstLine="5"/>
        <w:spacing w:after="0" w:line="264" w:lineRule="auto"/>
        <w:tabs>
          <w:tab w:leader="none" w:pos="19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0" w:lineRule="exact"/>
        <w:rPr>
          <w:sz w:val="20"/>
          <w:szCs w:val="20"/>
          <w:color w:val="auto"/>
        </w:rPr>
      </w:pPr>
    </w:p>
    <w:p>
      <w:pPr>
        <w:ind w:left="160" w:hanging="155"/>
        <w:spacing w:after="0"/>
        <w:tabs>
          <w:tab w:leader="none" w:pos="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 (§ 230.424 of this chapter);</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78" w:lineRule="exact"/>
        <w:rPr>
          <w:rFonts w:ascii="Times New Roman" w:cs="Times New Roman" w:eastAsia="Times New Roman" w:hAnsi="Times New Roman"/>
          <w:sz w:val="14"/>
          <w:szCs w:val="14"/>
          <w:color w:val="auto"/>
        </w:rPr>
      </w:pPr>
    </w:p>
    <w:p>
      <w:pPr>
        <w:ind w:firstLine="5"/>
        <w:spacing w:after="0" w:line="286" w:lineRule="auto"/>
        <w:tabs>
          <w:tab w:leader="none" w:pos="26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5"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8" w:lineRule="exact"/>
        <w:rPr>
          <w:sz w:val="20"/>
          <w:szCs w:val="20"/>
          <w:color w:val="auto"/>
        </w:rPr>
      </w:pPr>
    </w:p>
    <w:p>
      <w:pPr>
        <w:jc w:val="both"/>
        <w:ind w:firstLine="5"/>
        <w:spacing w:after="0" w:line="264" w:lineRule="auto"/>
        <w:tabs>
          <w:tab w:leader="none" w:pos="20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9" w:lineRule="exact"/>
        <w:rPr>
          <w:rFonts w:ascii="Times New Roman" w:cs="Times New Roman" w:eastAsia="Times New Roman" w:hAnsi="Times New Roman"/>
          <w:sz w:val="14"/>
          <w:szCs w:val="14"/>
          <w:color w:val="auto"/>
        </w:rPr>
      </w:pPr>
    </w:p>
    <w:p>
      <w:pPr>
        <w:jc w:val="both"/>
        <w:ind w:firstLine="5"/>
        <w:spacing w:after="0" w:line="259" w:lineRule="auto"/>
        <w:tabs>
          <w:tab w:leader="none" w:pos="22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City of Carlsbad, California, on the day of April 9, 2026.</w:t>
      </w:r>
    </w:p>
    <w:p>
      <w:pPr>
        <w:spacing w:after="0" w:line="1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APTERA MOTORS CORP.</w:t>
      </w:r>
    </w:p>
    <w:p>
      <w:pPr>
        <w:spacing w:after="0" w:line="178"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Chris Anthony</w:t>
      </w:r>
    </w:p>
    <w:p>
      <w:pPr>
        <w:spacing w:after="0" w:line="25"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4"/>
          <w:szCs w:val="14"/>
          <w:color w:val="auto"/>
        </w:rPr>
        <w:t>Name:</w:t>
        <w:tab/>
        <w:t>Chris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-101600</wp:posOffset>
            </wp:positionV>
            <wp:extent cx="321754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217545" cy="6985"/>
                    </a:xfrm>
                    <a:prstGeom prst="rect">
                      <a:avLst/>
                    </a:prstGeom>
                    <a:noFill/>
                  </pic:spPr>
                </pic:pic>
              </a:graphicData>
            </a:graphic>
          </wp:anchor>
        </w:drawing>
      </w:r>
    </w:p>
    <w:p>
      <w:pPr>
        <w:ind w:left="5660"/>
        <w:spacing w:after="0"/>
        <w:tabs>
          <w:tab w:leader="none" w:pos="62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i w:val="1"/>
          <w:iCs w:val="1"/>
          <w:color w:val="auto"/>
        </w:rPr>
        <w:t>Chief Executive Officer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 AND SIGNATURES</w:t>
      </w:r>
    </w:p>
    <w:p>
      <w:pPr>
        <w:spacing w:after="0" w:line="18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the undersigned officers and directors of Aptera Motors Corp., hereby severally constitute and appoint Chris Anthony and Tom DaPolito, and each of them singly (with full power to each of them to act alone),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4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on behalf of the registrant in the capacities and on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35"/>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Chris Anthony</w:t>
            </w:r>
          </w:p>
        </w:tc>
        <w:tc>
          <w:tcPr>
            <w:tcW w:w="22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Co-Chief Executive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April 9, 2026</w:t>
            </w:r>
          </w:p>
        </w:tc>
      </w:tr>
      <w:tr>
        <w:trPr>
          <w:trHeight w:val="175"/>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Chris Anthony</w:t>
            </w:r>
          </w:p>
        </w:tc>
        <w:tc>
          <w:tcPr>
            <w:tcW w:w="220" w:type="dxa"/>
            <w:vAlign w:val="bottom"/>
          </w:tcPr>
          <w:p>
            <w:pPr>
              <w:spacing w:after="0"/>
              <w:rPr>
                <w:sz w:val="15"/>
                <w:szCs w:val="15"/>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240" w:type="dxa"/>
            <w:vAlign w:val="bottom"/>
          </w:tcPr>
          <w:p>
            <w:pPr>
              <w:spacing w:after="0"/>
              <w:rPr>
                <w:sz w:val="15"/>
                <w:szCs w:val="15"/>
                <w:color w:val="auto"/>
              </w:rPr>
            </w:pPr>
          </w:p>
        </w:tc>
      </w:tr>
      <w:tr>
        <w:trPr>
          <w:trHeight w:val="325"/>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Tom DaPolito</w:t>
            </w:r>
          </w:p>
        </w:tc>
        <w:tc>
          <w:tcPr>
            <w:tcW w:w="22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Interim Chief Financial Officer</w:t>
            </w: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April 9, 2026</w:t>
            </w:r>
          </w:p>
        </w:tc>
      </w:tr>
      <w:tr>
        <w:trPr>
          <w:trHeight w:val="175"/>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Tom DaPolito</w:t>
            </w:r>
          </w:p>
        </w:tc>
        <w:tc>
          <w:tcPr>
            <w:tcW w:w="220" w:type="dxa"/>
            <w:vAlign w:val="bottom"/>
          </w:tcPr>
          <w:p>
            <w:pPr>
              <w:spacing w:after="0"/>
              <w:rPr>
                <w:sz w:val="15"/>
                <w:szCs w:val="15"/>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c>
          <w:tcPr>
            <w:tcW w:w="2240" w:type="dxa"/>
            <w:vAlign w:val="bottom"/>
          </w:tcPr>
          <w:p>
            <w:pPr>
              <w:spacing w:after="0"/>
              <w:rPr>
                <w:sz w:val="15"/>
                <w:szCs w:val="15"/>
                <w:color w:val="auto"/>
              </w:rPr>
            </w:pPr>
          </w:p>
        </w:tc>
      </w:tr>
      <w:tr>
        <w:trPr>
          <w:trHeight w:val="325"/>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Steve Fambro</w:t>
            </w:r>
          </w:p>
        </w:tc>
        <w:tc>
          <w:tcPr>
            <w:tcW w:w="22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Co-Chief Executive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April 9, 2026</w:t>
            </w:r>
          </w:p>
        </w:tc>
      </w:tr>
      <w:tr>
        <w:trPr>
          <w:trHeight w:val="175"/>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Steve Fambro</w:t>
            </w:r>
          </w:p>
        </w:tc>
        <w:tc>
          <w:tcPr>
            <w:tcW w:w="2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5"/>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Tony Kirton</w:t>
            </w:r>
          </w:p>
        </w:tc>
        <w:tc>
          <w:tcPr>
            <w:tcW w:w="22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April 9, 2026</w:t>
            </w:r>
          </w:p>
        </w:tc>
      </w:tr>
      <w:tr>
        <w:trPr>
          <w:trHeight w:val="175"/>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Tony Kirton</w:t>
            </w:r>
          </w:p>
        </w:tc>
        <w:tc>
          <w:tcPr>
            <w:tcW w:w="2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5"/>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Todd Butz</w:t>
            </w:r>
          </w:p>
        </w:tc>
        <w:tc>
          <w:tcPr>
            <w:tcW w:w="22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April 9, 2026</w:t>
            </w:r>
          </w:p>
        </w:tc>
      </w:tr>
      <w:tr>
        <w:trPr>
          <w:trHeight w:val="175"/>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Todd Butz</w:t>
            </w:r>
          </w:p>
        </w:tc>
        <w:tc>
          <w:tcPr>
            <w:tcW w:w="2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35"/>
        </w:trPr>
        <w:tc>
          <w:tcPr>
            <w:tcW w:w="4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ind w:left="1240"/>
              <w:spacing w:after="0"/>
              <w:rPr>
                <w:sz w:val="20"/>
                <w:szCs w:val="20"/>
                <w:color w:val="auto"/>
              </w:rPr>
            </w:pPr>
            <w:r>
              <w:rPr>
                <w:rFonts w:ascii="Times New Roman" w:cs="Times New Roman" w:eastAsia="Times New Roman" w:hAnsi="Times New Roman"/>
                <w:sz w:val="14"/>
                <w:szCs w:val="14"/>
                <w:color w:val="auto"/>
              </w:rPr>
              <w:t>II-6</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8" w:right="319" w:bottom="1440" w:gutter="0" w:footer="0" w:header="0"/>
        </w:sectPr>
      </w:pPr>
    </w:p>
    <w:bookmarkStart w:id="28" w:name="page29"/>
    <w:bookmarkEnd w:id="28"/>
    <w:p>
      <w:pPr>
        <w:ind w:left="10460"/>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1447165" cy="457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447165"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9,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Aptera Motors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5818 El Camino Real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Carlsbad, California 92008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We have acted as counsel to Aptera Motors Corp.,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connection with the Company’s Registration Statement on Form S-1 (the “</w:t>
      </w:r>
      <w:r>
        <w:rPr>
          <w:rFonts w:ascii="Times New Roman" w:cs="Times New Roman" w:eastAsia="Times New Roman" w:hAnsi="Times New Roman"/>
          <w:sz w:val="14"/>
          <w:szCs w:val="14"/>
          <w:b w:val="1"/>
          <w:bCs w:val="1"/>
          <w:color w:val="auto"/>
        </w:rPr>
        <w:t>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Statement</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The Registration Statement relates to the offer and sale by the selling stockholders identified therein of up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4,751,250 shares of the Company’s Class B common stock, par value $0.0001 per share (the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Such shares of Common Stock consist of 4,751,250 shares of Common Stock (the “</w:t>
      </w:r>
      <w:r>
        <w:rPr>
          <w:rFonts w:ascii="Times New Roman" w:cs="Times New Roman" w:eastAsia="Times New Roman" w:hAnsi="Times New Roman"/>
          <w:sz w:val="14"/>
          <w:szCs w:val="14"/>
          <w:b w:val="1"/>
          <w:bCs w:val="1"/>
          <w:color w:val="auto"/>
        </w:rPr>
        <w:t>Warrant Shares</w:t>
      </w:r>
      <w:r>
        <w:rPr>
          <w:rFonts w:ascii="Times New Roman" w:cs="Times New Roman" w:eastAsia="Times New Roman" w:hAnsi="Times New Roman"/>
          <w:sz w:val="14"/>
          <w:szCs w:val="14"/>
          <w:color w:val="auto"/>
        </w:rPr>
        <w:t>”) issuable upon the exercise of the inducement warrants granted pursuant to that certain Inducement Agreement, dated March 12, 2026, by and among the Company and certain investors (the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In connection with rendering this opinion, we have examined the Amended and Restated Certificate of Incorporation, as amended, and the Amended and Restated Bylaws of the Company, as amended, the forms of the Warrants, and such other corporate records, agreements, documents and instruments, and such certificates or comparable documents of public officials and of officers and representatives of the Company, and we have made such inquiries of such officers and representatives, as we have deemed necessary or appropriate for the purposes of this opinion.</w:t>
      </w:r>
    </w:p>
    <w:p>
      <w:pPr>
        <w:spacing w:after="0" w:line="137"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In such examination, we have assumed the genuineness of all signatures, the legal capacity of all natural persons, the authenticity of all documents submitted to us as originals, the conformity of original documents of all documents submitted to us as certified, conformed or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13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Based on the foregoing, and subject to the qualifications stated herein, we are of the opinion that when issued in accordance with the terms of the Warrants, the Warrant Shares will be duly authorized, validly issued, fully paid and non-assessable.</w:t>
      </w:r>
    </w:p>
    <w:p>
      <w:pPr>
        <w:spacing w:after="0" w:line="12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The opinions expressed herein are limited to the corporate laws of the State of Delaware, and we express no opinion as to the effect on the matters covered by this letter of the laws of any other jurisdiction.</w:t>
      </w:r>
    </w:p>
    <w:p>
      <w:pPr>
        <w:spacing w:after="0" w:line="12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We hereby consent to the filing of a copy of this opinion letter as an exhibit to the Registration Statement. In giving such consent, we do not thereby admit that we are in the category of persons whose consent is required under Section 7 of the Act.</w:t>
      </w:r>
    </w:p>
    <w:p>
      <w:pPr>
        <w:spacing w:after="0" w:line="1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/s/ Lowenstein Sandler LLP</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Lowenstein Sandler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-101600</wp:posOffset>
            </wp:positionV>
            <wp:extent cx="358076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5807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227965</wp:posOffset>
            </wp:positionV>
            <wp:extent cx="716153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S-1, as amended, of our report dated March 30, 2026 related to the consolidated financial statements of Aptera Motors Corp. as of December 31, 2025 and 2024 and for the years then ended, which includes an explanatory paragraph regarding substantial doubt about Aptera Motor Corp.’s ability to continue as a going concern. We also consent to the reference to us in the “Experts” section of the Registration Statement.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dbb</w:t>
      </w:r>
      <w:r>
        <w:rPr>
          <w:rFonts w:ascii="Times New Roman" w:cs="Times New Roman" w:eastAsia="Times New Roman" w:hAnsi="Times New Roman"/>
          <w:sz w:val="14"/>
          <w:szCs w:val="14"/>
          <w:i w:val="1"/>
          <w:iCs w:val="1"/>
          <w:color w:val="auto"/>
        </w:rPr>
        <w:t>mckennon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Diego,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6153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30" w:name="page31"/>
    <w:bookmarkEnd w:id="30"/>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Aptera Motors Corp</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0"/>
                <w:szCs w:val="10"/>
                <w:color w:val="auto"/>
              </w:rPr>
            </w:pPr>
          </w:p>
        </w:tc>
        <w:tc>
          <w:tcPr>
            <w:tcW w:w="7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ind w:right="62"/>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40"/>
              <w:spacing w:after="0" w:line="170"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11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ind w:left="160"/>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900" w:type="dxa"/>
            <w:vAlign w:val="bottom"/>
            <w:shd w:val="clear" w:color="auto" w:fill="9ADAF6"/>
          </w:tcPr>
          <w:p>
            <w:pPr>
              <w:jc w:val="right"/>
              <w:spacing w:after="0" w:line="117"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0"/>
                <w:szCs w:val="10"/>
                <w:color w:val="auto"/>
              </w:rPr>
            </w:pPr>
          </w:p>
        </w:tc>
        <w:tc>
          <w:tcPr>
            <w:tcW w:w="11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2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70"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20" w:type="dxa"/>
            <w:vAlign w:val="bottom"/>
            <w:shd w:val="clear" w:color="auto" w:fill="E7E7E2"/>
          </w:tcPr>
          <w:p>
            <w:pPr>
              <w:ind w:left="20"/>
              <w:spacing w:after="0" w:line="170"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4"/>
                <w:szCs w:val="14"/>
                <w:color w:val="auto"/>
              </w:rPr>
            </w:pPr>
          </w:p>
        </w:tc>
        <w:tc>
          <w:tcPr>
            <w:tcW w:w="940" w:type="dxa"/>
            <w:vAlign w:val="bottom"/>
            <w:shd w:val="clear" w:color="auto" w:fill="E7E7E2"/>
          </w:tcPr>
          <w:p>
            <w:pPr>
              <w:jc w:val="center"/>
              <w:spacing w:after="0" w:line="170" w:lineRule="exact"/>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4"/>
                <w:szCs w:val="14"/>
                <w:color w:val="auto"/>
              </w:rPr>
            </w:pPr>
          </w:p>
        </w:tc>
        <w:tc>
          <w:tcPr>
            <w:tcW w:w="90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rPr>
              <w:t>4,751,250</w:t>
            </w:r>
          </w:p>
        </w:tc>
        <w:tc>
          <w:tcPr>
            <w:tcW w:w="20" w:type="dxa"/>
            <w:vAlign w:val="bottom"/>
          </w:tcPr>
          <w:p>
            <w:pPr>
              <w:spacing w:after="0"/>
              <w:rPr>
                <w:sz w:val="14"/>
                <w:szCs w:val="14"/>
                <w:color w:val="auto"/>
              </w:rPr>
            </w:pPr>
          </w:p>
        </w:tc>
        <w:tc>
          <w:tcPr>
            <w:tcW w:w="800" w:type="dxa"/>
            <w:vAlign w:val="bottom"/>
            <w:shd w:val="clear" w:color="auto" w:fill="E7E7E2"/>
          </w:tcPr>
          <w:p>
            <w:pPr>
              <w:ind w:left="320"/>
              <w:spacing w:after="0" w:line="170" w:lineRule="exact"/>
              <w:rPr>
                <w:sz w:val="20"/>
                <w:szCs w:val="20"/>
                <w:color w:val="auto"/>
              </w:rPr>
            </w:pPr>
            <w:r>
              <w:rPr>
                <w:rFonts w:ascii="Arial" w:cs="Arial" w:eastAsia="Arial" w:hAnsi="Arial"/>
                <w:sz w:val="17"/>
                <w:szCs w:val="17"/>
                <w:color w:val="auto"/>
                <w:w w:val="97"/>
              </w:rPr>
              <w:t>$ 2.77</w:t>
            </w:r>
          </w:p>
        </w:tc>
        <w:tc>
          <w:tcPr>
            <w:tcW w:w="20" w:type="dxa"/>
            <w:vAlign w:val="bottom"/>
          </w:tcPr>
          <w:p>
            <w:pPr>
              <w:spacing w:after="0"/>
              <w:rPr>
                <w:sz w:val="14"/>
                <w:szCs w:val="14"/>
                <w:color w:val="auto"/>
              </w:rPr>
            </w:pPr>
          </w:p>
        </w:tc>
        <w:tc>
          <w:tcPr>
            <w:tcW w:w="1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rPr>
              <w:t>$ 1,817.53</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w w:val="99"/>
              </w:rPr>
              <w:t>13,160,962.50</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34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$ 1,817.53</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13,160,962.50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$ 1,817.53</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220" w:right="260" w:hanging="3"/>
        <w:spacing w:after="0" w:line="251" w:lineRule="auto"/>
        <w:tabs>
          <w:tab w:leader="none" w:pos="474" w:val="left"/>
        </w:tabs>
        <w:numPr>
          <w:ilvl w:val="0"/>
          <w:numId w:val="29"/>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(the "Securities Act"), there is also being registered hereby such indeterminate number of additional common shares as may be issued or issuable because of stock splits, stock dividends stock distributions, and similar transactions.</w:t>
      </w:r>
    </w:p>
    <w:p>
      <w:pPr>
        <w:spacing w:after="0" w:line="149" w:lineRule="exact"/>
        <w:rPr>
          <w:rFonts w:ascii="Arial" w:cs="Arial" w:eastAsia="Arial" w:hAnsi="Arial"/>
          <w:sz w:val="17"/>
          <w:szCs w:val="17"/>
          <w:color w:val="auto"/>
        </w:rPr>
      </w:pPr>
    </w:p>
    <w:p>
      <w:pPr>
        <w:ind w:left="220" w:right="100" w:hanging="3"/>
        <w:spacing w:after="0" w:line="251" w:lineRule="auto"/>
        <w:tabs>
          <w:tab w:leader="none" w:pos="474" w:val="left"/>
        </w:tabs>
        <w:numPr>
          <w:ilvl w:val="0"/>
          <w:numId w:val="29"/>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457(c) under the Securities Act based on a per share price of $2.77, the average of the high $2.88 and low $2.66 reported sales prices of the registrant's common stock on the Nasdaq Capital Market on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714692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55"/>
              <w:spacing w:after="0" w:line="191"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880" w:type="dxa"/>
            <w:vAlign w:val="bottom"/>
            <w:gridSpan w:val="5"/>
            <w:shd w:val="clear" w:color="auto" w:fill="9ADAF6"/>
          </w:tcPr>
          <w:p>
            <w:pPr>
              <w:jc w:val="center"/>
              <w:ind w:right="39"/>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restart"/>
            <w:shd w:val="clear" w:color="auto" w:fill="9ADAF6"/>
          </w:tcPr>
          <w:p>
            <w:pPr>
              <w:jc w:val="center"/>
              <w:ind w:right="295"/>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9"/>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restart"/>
            <w:shd w:val="clear" w:color="auto" w:fill="9ADAF6"/>
          </w:tcPr>
          <w:p>
            <w:pPr>
              <w:jc w:val="center"/>
              <w:ind w:right="39"/>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9"/>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3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lowerRoman"/>
      <w:start w:val="2"/>
    </w:lvl>
  </w:abstractNum>
  <w:abstractNum w:abstractNumId="23">
    <w:nsid w:val="189A769B"/>
    <w:multiLevelType w:val="hybridMultilevel"/>
    <w:lvl w:ilvl="0">
      <w:lvlJc w:val="left"/>
      <w:lvlText w:val="(%1)"/>
      <w:numFmt w:val="decimal"/>
      <w:start w:val="2"/>
    </w:lvl>
  </w:abstractNum>
  <w:abstractNum w:abstractNumId="24">
    <w:nsid w:val="54E49EB4"/>
    <w:multiLevelType w:val="hybridMultilevel"/>
    <w:lvl w:ilvl="0">
      <w:lvlJc w:val="left"/>
      <w:lvlText w:val="(%1)"/>
      <w:numFmt w:val="upp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decimal"/>
      <w:start w:val="6"/>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jpe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jpe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32" Type="http://schemas.openxmlformats.org/officeDocument/2006/relationships/hyperlink" Target="https://www.sec.gov/Archives/edgar/data/1786471/000149315226013581/form10-k.htm" TargetMode="External"/><Relationship Id="rId33" Type="http://schemas.openxmlformats.org/officeDocument/2006/relationships/hyperlink" Target="https://www.sec.gov/Archives/edgar/data/1786471/000149315226003512/form8-k.htm" TargetMode="External"/><Relationship Id="rId34" Type="http://schemas.openxmlformats.org/officeDocument/2006/relationships/hyperlink" Target="https://www.sec.gov/Archives/edgar/data/1786471/000149315226009780/form8-k.htm" TargetMode="External"/><Relationship Id="rId35" Type="http://schemas.openxmlformats.org/officeDocument/2006/relationships/hyperlink" Target="https://www.sec.gov/Archives/edgar/data/1786471/000149315225016237/form8a12b.htm" TargetMode="External"/><Relationship Id="rId36" Type="http://schemas.openxmlformats.org/officeDocument/2006/relationships/hyperlink" Target="https://www.sec.gov/Archives/edgar/data/1786471/000149315226013581/ex4-12.htm" TargetMode="External"/><Relationship Id="rId42" Type="http://schemas.openxmlformats.org/officeDocument/2006/relationships/hyperlink" Target="https://www.sec.gov/Archives/edgar/data/1786471/000149315225016548/ex3-1.htm" TargetMode="External"/><Relationship Id="rId43" Type="http://schemas.openxmlformats.org/officeDocument/2006/relationships/hyperlink" Target="https://www.sec.gov/Archives/edgar/data/1786471/000149315225016548/ex3-2.htm" TargetMode="External"/><Relationship Id="rId44" Type="http://schemas.openxmlformats.org/officeDocument/2006/relationships/hyperlink" Target="https://www.sec.gov/Archives/edgar/data/1786471/000149315226009780/ex4-1.htm" TargetMode="External"/><Relationship Id="rId45" Type="http://schemas.openxmlformats.org/officeDocument/2006/relationships/hyperlink" Target="https://www.sec.gov/Archives/edgar/data/1786471/00014931522600978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2026-04-09T07:05:06Z</dcterms:created>
  <dcterms:modified xsi:type="dcterms:W3CDTF">2026-04-09T07:05:06Z</dcterms:modified>
</cp:coreProperties>
</file>